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F00C5" w14:textId="77777777" w:rsidR="009633AC" w:rsidRPr="00510E97" w:rsidRDefault="009633AC" w:rsidP="009633AC">
      <w:pPr>
        <w:pStyle w:val="BodyText"/>
        <w:spacing w:before="360" w:after="480"/>
        <w:jc w:val="center"/>
        <w:rPr>
          <w:b/>
          <w:bCs/>
          <w:sz w:val="32"/>
          <w:szCs w:val="32"/>
          <w:lang w:val="en-US"/>
        </w:rPr>
      </w:pPr>
      <w:bookmarkStart w:id="0" w:name="_Hlk157684194"/>
      <w:r w:rsidRPr="00124878">
        <w:rPr>
          <w:noProof/>
          <w:lang w:eastAsia="en-CA"/>
        </w:rPr>
        <w:drawing>
          <wp:anchor distT="0" distB="0" distL="114300" distR="114300" simplePos="0" relativeHeight="251661312" behindDoc="0" locked="0" layoutInCell="1" allowOverlap="1" wp14:anchorId="7D5551A8" wp14:editId="4D2A9E47">
            <wp:simplePos x="0" y="0"/>
            <wp:positionH relativeFrom="column">
              <wp:posOffset>2390775</wp:posOffset>
            </wp:positionH>
            <wp:positionV relativeFrom="paragraph">
              <wp:posOffset>-1417955</wp:posOffset>
            </wp:positionV>
            <wp:extent cx="1259205" cy="1360805"/>
            <wp:effectExtent l="0" t="0" r="0" b="0"/>
            <wp:wrapNone/>
            <wp:docPr id="1040503161" name="Picture 1040503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03161" name="Picture 1040503161" descr="A white logo with a blue background&#10;&#10;Description automatically generated"/>
                    <pic:cNvPicPr/>
                  </pic:nvPicPr>
                  <pic:blipFill>
                    <a:blip r:embed="rId11">
                      <a:extLst>
                        <a:ext uri="{28A0092B-C50C-407E-A947-70E740481C1C}">
                          <a14:useLocalDpi xmlns:a14="http://schemas.microsoft.com/office/drawing/2010/main" val="0"/>
                        </a:ext>
                      </a:extLst>
                    </a:blip>
                    <a:srcRect l="37981" t="13311" r="37442" b="73949"/>
                    <a:stretch>
                      <a:fillRect/>
                    </a:stretch>
                  </pic:blipFill>
                  <pic:spPr>
                    <a:xfrm>
                      <a:off x="0" y="0"/>
                      <a:ext cx="1259205" cy="1360805"/>
                    </a:xfrm>
                    <a:prstGeom prst="rect">
                      <a:avLst/>
                    </a:prstGeom>
                    <a:ln>
                      <a:noFill/>
                    </a:ln>
                  </pic:spPr>
                </pic:pic>
              </a:graphicData>
            </a:graphic>
            <wp14:sizeRelH relativeFrom="page">
              <wp14:pctWidth>0</wp14:pctWidth>
            </wp14:sizeRelH>
            <wp14:sizeRelV relativeFrom="page">
              <wp14:pctHeight>0</wp14:pctHeight>
            </wp14:sizeRelV>
          </wp:anchor>
        </w:drawing>
      </w:r>
      <w:r w:rsidRPr="00510E97">
        <w:rPr>
          <w:b/>
          <w:bCs/>
          <w:sz w:val="32"/>
          <w:szCs w:val="32"/>
          <w:lang w:val="en-US"/>
        </w:rPr>
        <w:t>AMAROQ MINERALS LTD.</w:t>
      </w:r>
    </w:p>
    <w:p w14:paraId="33BD6CAB" w14:textId="77777777" w:rsidR="009633AC" w:rsidRDefault="009633AC" w:rsidP="009633AC">
      <w:pPr>
        <w:pStyle w:val="BodyText"/>
        <w:spacing w:after="0"/>
        <w:jc w:val="center"/>
        <w:rPr>
          <w:b/>
          <w:bCs/>
          <w:lang w:val="en-US"/>
        </w:rPr>
      </w:pPr>
      <w:r w:rsidRPr="00510E97">
        <w:rPr>
          <w:b/>
          <w:bCs/>
          <w:lang w:val="en-US"/>
        </w:rPr>
        <w:t>ANNUAL INFORMATION FORM</w:t>
      </w:r>
    </w:p>
    <w:p w14:paraId="04FEB391" w14:textId="77777777" w:rsidR="009633AC" w:rsidRPr="00DB3EDA" w:rsidRDefault="009633AC" w:rsidP="009633AC">
      <w:pPr>
        <w:pStyle w:val="BodyText"/>
        <w:spacing w:before="240" w:after="600"/>
        <w:jc w:val="center"/>
        <w:rPr>
          <w:b/>
          <w:bCs/>
          <w:lang w:val="en-US"/>
        </w:rPr>
      </w:pPr>
      <w:r w:rsidRPr="00DB3EDA">
        <w:rPr>
          <w:b/>
          <w:bCs/>
          <w:lang w:val="en-US"/>
        </w:rPr>
        <w:t>FOR THE YEAR ENDED DECEMBER 31, 2023</w:t>
      </w:r>
    </w:p>
    <w:p w14:paraId="3A3B742E" w14:textId="77777777" w:rsidR="009633AC" w:rsidRDefault="009633AC" w:rsidP="009633AC">
      <w:pPr>
        <w:pStyle w:val="BodyText"/>
        <w:jc w:val="center"/>
        <w:rPr>
          <w:lang w:val="en-US"/>
        </w:rPr>
      </w:pPr>
      <w:r>
        <w:rPr>
          <w:lang w:val="en-GB"/>
        </w:rPr>
        <w:t xml:space="preserve">March </w:t>
      </w:r>
      <w:r>
        <w:rPr>
          <w:lang w:val="ru-RU"/>
        </w:rPr>
        <w:t>26</w:t>
      </w:r>
      <w:r w:rsidRPr="00DB3EDA">
        <w:rPr>
          <w:lang w:val="en-US"/>
        </w:rPr>
        <w:t>, 2024</w:t>
      </w:r>
    </w:p>
    <w:p w14:paraId="15E4CC86" w14:textId="77777777" w:rsidR="009633AC" w:rsidRPr="00DB3EDA" w:rsidRDefault="009633AC" w:rsidP="009633AC">
      <w:pPr>
        <w:rPr>
          <w:lang w:val="en-US"/>
        </w:rPr>
      </w:pPr>
    </w:p>
    <w:p w14:paraId="0586F2EC" w14:textId="77777777" w:rsidR="009633AC" w:rsidRPr="007B428B" w:rsidRDefault="009633AC" w:rsidP="009633AC">
      <w:pPr>
        <w:rPr>
          <w:rFonts w:ascii="Arial" w:hAnsi="Arial" w:cs="Arial"/>
          <w:szCs w:val="20"/>
          <w:lang w:val="ru-RU"/>
        </w:rPr>
        <w:sectPr w:rsidR="009633AC" w:rsidRPr="007B428B" w:rsidSect="001C35FD">
          <w:headerReference w:type="default" r:id="rId12"/>
          <w:footerReference w:type="default" r:id="rId13"/>
          <w:pgSz w:w="12240" w:h="15840" w:code="1"/>
          <w:pgMar w:top="1440" w:right="1440" w:bottom="1440" w:left="1440" w:header="706" w:footer="576" w:gutter="0"/>
          <w:cols w:space="708"/>
          <w:vAlign w:val="center"/>
          <w:titlePg/>
          <w:docGrid w:linePitch="360"/>
        </w:sectPr>
      </w:pPr>
    </w:p>
    <w:p w14:paraId="2521EABA" w14:textId="77777777" w:rsidR="009633AC" w:rsidRPr="00E042BB" w:rsidRDefault="009633AC" w:rsidP="009633AC">
      <w:pPr>
        <w:pStyle w:val="BodyText"/>
        <w:jc w:val="center"/>
        <w:rPr>
          <w:b/>
          <w:bCs/>
        </w:rPr>
      </w:pPr>
      <w:r w:rsidRPr="00E042BB">
        <w:rPr>
          <w:b/>
          <w:bCs/>
        </w:rPr>
        <w:lastRenderedPageBreak/>
        <w:t>TABLE OF CONTENTS</w:t>
      </w:r>
    </w:p>
    <w:bookmarkStart w:id="1" w:name="_Toc42803786"/>
    <w:bookmarkStart w:id="2" w:name="_Toc57649483"/>
    <w:p w14:paraId="2136B4BE" w14:textId="77777777" w:rsidR="009633AC" w:rsidRDefault="009633AC" w:rsidP="009633AC">
      <w:pPr>
        <w:pStyle w:val="TOC1"/>
        <w:rPr>
          <w:rFonts w:asciiTheme="minorHAnsi" w:eastAsiaTheme="minorEastAsia" w:hAnsiTheme="minorHAnsi" w:cstheme="minorBidi"/>
          <w:iCs w:val="0"/>
          <w:kern w:val="2"/>
          <w:sz w:val="22"/>
          <w:szCs w:val="22"/>
          <w:lang w:val="en-US" w:eastAsia="en-US"/>
          <w14:ligatures w14:val="standardContextual"/>
        </w:rPr>
      </w:pPr>
      <w:r>
        <w:fldChar w:fldCharType="begin"/>
      </w:r>
      <w:r>
        <w:instrText xml:space="preserve"> TOC \h \z \t "Heading 9,1,Prospectus_L1,1" </w:instrText>
      </w:r>
      <w:r>
        <w:fldChar w:fldCharType="separate"/>
      </w:r>
      <w:hyperlink w:anchor="_Toc161911180" w:history="1">
        <w:r w:rsidRPr="00BB1C15">
          <w:rPr>
            <w:rStyle w:val="Hyperlink"/>
          </w:rPr>
          <w:t>CAUTIONARY STATEMENT REGARDING FORWARD-LOOKING STATEMENTS</w:t>
        </w:r>
        <w:r>
          <w:rPr>
            <w:webHidden/>
          </w:rPr>
          <w:tab/>
        </w:r>
        <w:r>
          <w:rPr>
            <w:webHidden/>
          </w:rPr>
          <w:fldChar w:fldCharType="begin"/>
        </w:r>
        <w:r>
          <w:rPr>
            <w:webHidden/>
          </w:rPr>
          <w:instrText xml:space="preserve"> PAGEREF _Toc161911180 \h </w:instrText>
        </w:r>
        <w:r>
          <w:rPr>
            <w:webHidden/>
          </w:rPr>
        </w:r>
        <w:r>
          <w:rPr>
            <w:webHidden/>
          </w:rPr>
          <w:fldChar w:fldCharType="separate"/>
        </w:r>
        <w:r>
          <w:rPr>
            <w:webHidden/>
          </w:rPr>
          <w:t>1</w:t>
        </w:r>
        <w:r>
          <w:rPr>
            <w:webHidden/>
          </w:rPr>
          <w:fldChar w:fldCharType="end"/>
        </w:r>
      </w:hyperlink>
    </w:p>
    <w:p w14:paraId="4AC0A853" w14:textId="77777777" w:rsidR="009633AC" w:rsidRDefault="00000000" w:rsidP="009633AC">
      <w:pPr>
        <w:pStyle w:val="TOC1"/>
        <w:rPr>
          <w:rFonts w:asciiTheme="minorHAnsi" w:eastAsiaTheme="minorEastAsia" w:hAnsiTheme="minorHAnsi" w:cstheme="minorBidi"/>
          <w:iCs w:val="0"/>
          <w:kern w:val="2"/>
          <w:sz w:val="22"/>
          <w:szCs w:val="22"/>
          <w:lang w:val="en-US" w:eastAsia="en-US"/>
          <w14:ligatures w14:val="standardContextual"/>
        </w:rPr>
      </w:pPr>
      <w:hyperlink w:anchor="_Toc161911181" w:history="1">
        <w:r w:rsidR="009633AC" w:rsidRPr="00BB1C15">
          <w:rPr>
            <w:rStyle w:val="Hyperlink"/>
          </w:rPr>
          <w:t>PRELIMINARY NOTES</w:t>
        </w:r>
        <w:r w:rsidR="009633AC">
          <w:rPr>
            <w:webHidden/>
          </w:rPr>
          <w:tab/>
        </w:r>
        <w:r w:rsidR="009633AC">
          <w:rPr>
            <w:webHidden/>
          </w:rPr>
          <w:fldChar w:fldCharType="begin"/>
        </w:r>
        <w:r w:rsidR="009633AC">
          <w:rPr>
            <w:webHidden/>
          </w:rPr>
          <w:instrText xml:space="preserve"> PAGEREF _Toc161911181 \h </w:instrText>
        </w:r>
        <w:r w:rsidR="009633AC">
          <w:rPr>
            <w:webHidden/>
          </w:rPr>
        </w:r>
        <w:r w:rsidR="009633AC">
          <w:rPr>
            <w:webHidden/>
          </w:rPr>
          <w:fldChar w:fldCharType="separate"/>
        </w:r>
        <w:r w:rsidR="009633AC">
          <w:rPr>
            <w:webHidden/>
          </w:rPr>
          <w:t>2</w:t>
        </w:r>
        <w:r w:rsidR="009633AC">
          <w:rPr>
            <w:webHidden/>
          </w:rPr>
          <w:fldChar w:fldCharType="end"/>
        </w:r>
      </w:hyperlink>
    </w:p>
    <w:p w14:paraId="5C06670B" w14:textId="77777777" w:rsidR="009633AC" w:rsidRDefault="00000000" w:rsidP="009633AC">
      <w:pPr>
        <w:pStyle w:val="TOC1"/>
        <w:rPr>
          <w:rFonts w:asciiTheme="minorHAnsi" w:eastAsiaTheme="minorEastAsia" w:hAnsiTheme="minorHAnsi" w:cstheme="minorBidi"/>
          <w:iCs w:val="0"/>
          <w:kern w:val="2"/>
          <w:sz w:val="22"/>
          <w:szCs w:val="22"/>
          <w:lang w:val="en-US" w:eastAsia="en-US"/>
          <w14:ligatures w14:val="standardContextual"/>
        </w:rPr>
      </w:pPr>
      <w:hyperlink w:anchor="_Toc161911182" w:history="1">
        <w:r w:rsidR="009633AC" w:rsidRPr="00BB1C15">
          <w:rPr>
            <w:rStyle w:val="Hyperlink"/>
          </w:rPr>
          <w:t>TECHNICAL INFORMATION</w:t>
        </w:r>
        <w:r w:rsidR="009633AC">
          <w:rPr>
            <w:webHidden/>
          </w:rPr>
          <w:tab/>
        </w:r>
        <w:r w:rsidR="009633AC">
          <w:rPr>
            <w:webHidden/>
          </w:rPr>
          <w:fldChar w:fldCharType="begin"/>
        </w:r>
        <w:r w:rsidR="009633AC">
          <w:rPr>
            <w:webHidden/>
          </w:rPr>
          <w:instrText xml:space="preserve"> PAGEREF _Toc161911182 \h </w:instrText>
        </w:r>
        <w:r w:rsidR="009633AC">
          <w:rPr>
            <w:webHidden/>
          </w:rPr>
        </w:r>
        <w:r w:rsidR="009633AC">
          <w:rPr>
            <w:webHidden/>
          </w:rPr>
          <w:fldChar w:fldCharType="separate"/>
        </w:r>
        <w:r w:rsidR="009633AC">
          <w:rPr>
            <w:webHidden/>
          </w:rPr>
          <w:t>2</w:t>
        </w:r>
        <w:r w:rsidR="009633AC">
          <w:rPr>
            <w:webHidden/>
          </w:rPr>
          <w:fldChar w:fldCharType="end"/>
        </w:r>
      </w:hyperlink>
    </w:p>
    <w:p w14:paraId="7CAC0A9A" w14:textId="77777777" w:rsidR="009633AC" w:rsidRDefault="00000000" w:rsidP="009633AC">
      <w:pPr>
        <w:pStyle w:val="TOC1"/>
        <w:rPr>
          <w:rFonts w:asciiTheme="minorHAnsi" w:eastAsiaTheme="minorEastAsia" w:hAnsiTheme="minorHAnsi" w:cstheme="minorBidi"/>
          <w:iCs w:val="0"/>
          <w:kern w:val="2"/>
          <w:sz w:val="22"/>
          <w:szCs w:val="22"/>
          <w:lang w:val="en-US" w:eastAsia="en-US"/>
          <w14:ligatures w14:val="standardContextual"/>
        </w:rPr>
      </w:pPr>
      <w:hyperlink w:anchor="_Toc161911183" w:history="1">
        <w:r w:rsidR="009633AC" w:rsidRPr="00BB1C15">
          <w:rPr>
            <w:rStyle w:val="Hyperlink"/>
          </w:rPr>
          <w:t>CORPORATE STRUCTURE</w:t>
        </w:r>
        <w:r w:rsidR="009633AC">
          <w:rPr>
            <w:webHidden/>
          </w:rPr>
          <w:tab/>
        </w:r>
        <w:r w:rsidR="009633AC">
          <w:rPr>
            <w:webHidden/>
          </w:rPr>
          <w:fldChar w:fldCharType="begin"/>
        </w:r>
        <w:r w:rsidR="009633AC">
          <w:rPr>
            <w:webHidden/>
          </w:rPr>
          <w:instrText xml:space="preserve"> PAGEREF _Toc161911183 \h </w:instrText>
        </w:r>
        <w:r w:rsidR="009633AC">
          <w:rPr>
            <w:webHidden/>
          </w:rPr>
        </w:r>
        <w:r w:rsidR="009633AC">
          <w:rPr>
            <w:webHidden/>
          </w:rPr>
          <w:fldChar w:fldCharType="separate"/>
        </w:r>
        <w:r w:rsidR="009633AC">
          <w:rPr>
            <w:webHidden/>
          </w:rPr>
          <w:t>3</w:t>
        </w:r>
        <w:r w:rsidR="009633AC">
          <w:rPr>
            <w:webHidden/>
          </w:rPr>
          <w:fldChar w:fldCharType="end"/>
        </w:r>
      </w:hyperlink>
    </w:p>
    <w:p w14:paraId="6F1FAE94" w14:textId="77777777" w:rsidR="009633AC" w:rsidRDefault="00000000" w:rsidP="009633AC">
      <w:pPr>
        <w:pStyle w:val="TOC1"/>
        <w:rPr>
          <w:rFonts w:asciiTheme="minorHAnsi" w:eastAsiaTheme="minorEastAsia" w:hAnsiTheme="minorHAnsi" w:cstheme="minorBidi"/>
          <w:iCs w:val="0"/>
          <w:kern w:val="2"/>
          <w:sz w:val="22"/>
          <w:szCs w:val="22"/>
          <w:lang w:val="en-US" w:eastAsia="en-US"/>
          <w14:ligatures w14:val="standardContextual"/>
        </w:rPr>
      </w:pPr>
      <w:hyperlink w:anchor="_Toc161911184" w:history="1">
        <w:r w:rsidR="009633AC" w:rsidRPr="00BB1C15">
          <w:rPr>
            <w:rStyle w:val="Hyperlink"/>
          </w:rPr>
          <w:t>GENERAL DEVELOPMENT OF THE BUSINESS</w:t>
        </w:r>
        <w:r w:rsidR="009633AC">
          <w:rPr>
            <w:webHidden/>
          </w:rPr>
          <w:tab/>
        </w:r>
        <w:r w:rsidR="009633AC">
          <w:rPr>
            <w:webHidden/>
          </w:rPr>
          <w:fldChar w:fldCharType="begin"/>
        </w:r>
        <w:r w:rsidR="009633AC">
          <w:rPr>
            <w:webHidden/>
          </w:rPr>
          <w:instrText xml:space="preserve"> PAGEREF _Toc161911184 \h </w:instrText>
        </w:r>
        <w:r w:rsidR="009633AC">
          <w:rPr>
            <w:webHidden/>
          </w:rPr>
        </w:r>
        <w:r w:rsidR="009633AC">
          <w:rPr>
            <w:webHidden/>
          </w:rPr>
          <w:fldChar w:fldCharType="separate"/>
        </w:r>
        <w:r w:rsidR="009633AC">
          <w:rPr>
            <w:webHidden/>
          </w:rPr>
          <w:t>4</w:t>
        </w:r>
        <w:r w:rsidR="009633AC">
          <w:rPr>
            <w:webHidden/>
          </w:rPr>
          <w:fldChar w:fldCharType="end"/>
        </w:r>
      </w:hyperlink>
    </w:p>
    <w:p w14:paraId="2D794EB1" w14:textId="77777777" w:rsidR="009633AC" w:rsidRDefault="00000000" w:rsidP="009633AC">
      <w:pPr>
        <w:pStyle w:val="TOC1"/>
        <w:rPr>
          <w:rFonts w:asciiTheme="minorHAnsi" w:eastAsiaTheme="minorEastAsia" w:hAnsiTheme="minorHAnsi" w:cstheme="minorBidi"/>
          <w:iCs w:val="0"/>
          <w:kern w:val="2"/>
          <w:sz w:val="22"/>
          <w:szCs w:val="22"/>
          <w:lang w:val="en-US" w:eastAsia="en-US"/>
          <w14:ligatures w14:val="standardContextual"/>
        </w:rPr>
      </w:pPr>
      <w:hyperlink w:anchor="_Toc161911185" w:history="1">
        <w:r w:rsidR="009633AC" w:rsidRPr="00BB1C15">
          <w:rPr>
            <w:rStyle w:val="Hyperlink"/>
          </w:rPr>
          <w:t>DESCRIPTION OF THE BUSINESS</w:t>
        </w:r>
        <w:r w:rsidR="009633AC">
          <w:rPr>
            <w:webHidden/>
          </w:rPr>
          <w:tab/>
        </w:r>
        <w:r w:rsidR="009633AC">
          <w:rPr>
            <w:webHidden/>
          </w:rPr>
          <w:fldChar w:fldCharType="begin"/>
        </w:r>
        <w:r w:rsidR="009633AC">
          <w:rPr>
            <w:webHidden/>
          </w:rPr>
          <w:instrText xml:space="preserve"> PAGEREF _Toc161911185 \h </w:instrText>
        </w:r>
        <w:r w:rsidR="009633AC">
          <w:rPr>
            <w:webHidden/>
          </w:rPr>
        </w:r>
        <w:r w:rsidR="009633AC">
          <w:rPr>
            <w:webHidden/>
          </w:rPr>
          <w:fldChar w:fldCharType="separate"/>
        </w:r>
        <w:r w:rsidR="009633AC">
          <w:rPr>
            <w:webHidden/>
          </w:rPr>
          <w:t>9</w:t>
        </w:r>
        <w:r w:rsidR="009633AC">
          <w:rPr>
            <w:webHidden/>
          </w:rPr>
          <w:fldChar w:fldCharType="end"/>
        </w:r>
      </w:hyperlink>
    </w:p>
    <w:p w14:paraId="21CC9792" w14:textId="77777777" w:rsidR="009633AC" w:rsidRDefault="00000000" w:rsidP="009633AC">
      <w:pPr>
        <w:pStyle w:val="TOC1"/>
        <w:rPr>
          <w:rFonts w:asciiTheme="minorHAnsi" w:eastAsiaTheme="minorEastAsia" w:hAnsiTheme="minorHAnsi" w:cstheme="minorBidi"/>
          <w:iCs w:val="0"/>
          <w:kern w:val="2"/>
          <w:sz w:val="22"/>
          <w:szCs w:val="22"/>
          <w:lang w:val="en-US" w:eastAsia="en-US"/>
          <w14:ligatures w14:val="standardContextual"/>
        </w:rPr>
      </w:pPr>
      <w:hyperlink w:anchor="_Toc161911186" w:history="1">
        <w:r w:rsidR="009633AC" w:rsidRPr="00BB1C15">
          <w:rPr>
            <w:rStyle w:val="Hyperlink"/>
          </w:rPr>
          <w:t>RISK FACTORS</w:t>
        </w:r>
        <w:r w:rsidR="009633AC">
          <w:rPr>
            <w:webHidden/>
          </w:rPr>
          <w:tab/>
        </w:r>
        <w:r w:rsidR="009633AC">
          <w:rPr>
            <w:webHidden/>
          </w:rPr>
          <w:fldChar w:fldCharType="begin"/>
        </w:r>
        <w:r w:rsidR="009633AC">
          <w:rPr>
            <w:webHidden/>
          </w:rPr>
          <w:instrText xml:space="preserve"> PAGEREF _Toc161911186 \h </w:instrText>
        </w:r>
        <w:r w:rsidR="009633AC">
          <w:rPr>
            <w:webHidden/>
          </w:rPr>
        </w:r>
        <w:r w:rsidR="009633AC">
          <w:rPr>
            <w:webHidden/>
          </w:rPr>
          <w:fldChar w:fldCharType="separate"/>
        </w:r>
        <w:r w:rsidR="009633AC">
          <w:rPr>
            <w:webHidden/>
          </w:rPr>
          <w:t>14</w:t>
        </w:r>
        <w:r w:rsidR="009633AC">
          <w:rPr>
            <w:webHidden/>
          </w:rPr>
          <w:fldChar w:fldCharType="end"/>
        </w:r>
      </w:hyperlink>
    </w:p>
    <w:p w14:paraId="40DF8984" w14:textId="77777777" w:rsidR="009633AC" w:rsidRDefault="00000000" w:rsidP="009633AC">
      <w:pPr>
        <w:pStyle w:val="TOC1"/>
        <w:rPr>
          <w:rFonts w:asciiTheme="minorHAnsi" w:eastAsiaTheme="minorEastAsia" w:hAnsiTheme="minorHAnsi" w:cstheme="minorBidi"/>
          <w:iCs w:val="0"/>
          <w:kern w:val="2"/>
          <w:sz w:val="22"/>
          <w:szCs w:val="22"/>
          <w:lang w:val="en-US" w:eastAsia="en-US"/>
          <w14:ligatures w14:val="standardContextual"/>
        </w:rPr>
      </w:pPr>
      <w:hyperlink w:anchor="_Toc161911187" w:history="1">
        <w:r w:rsidR="009633AC" w:rsidRPr="00BB1C15">
          <w:rPr>
            <w:rStyle w:val="Hyperlink"/>
          </w:rPr>
          <w:t>MINERAL PROPERTIES</w:t>
        </w:r>
        <w:r w:rsidR="009633AC">
          <w:rPr>
            <w:webHidden/>
          </w:rPr>
          <w:tab/>
        </w:r>
        <w:r w:rsidR="009633AC">
          <w:rPr>
            <w:webHidden/>
          </w:rPr>
          <w:fldChar w:fldCharType="begin"/>
        </w:r>
        <w:r w:rsidR="009633AC">
          <w:rPr>
            <w:webHidden/>
          </w:rPr>
          <w:instrText xml:space="preserve"> PAGEREF _Toc161911187 \h </w:instrText>
        </w:r>
        <w:r w:rsidR="009633AC">
          <w:rPr>
            <w:webHidden/>
          </w:rPr>
        </w:r>
        <w:r w:rsidR="009633AC">
          <w:rPr>
            <w:webHidden/>
          </w:rPr>
          <w:fldChar w:fldCharType="separate"/>
        </w:r>
        <w:r w:rsidR="009633AC">
          <w:rPr>
            <w:webHidden/>
          </w:rPr>
          <w:t>26</w:t>
        </w:r>
        <w:r w:rsidR="009633AC">
          <w:rPr>
            <w:webHidden/>
          </w:rPr>
          <w:fldChar w:fldCharType="end"/>
        </w:r>
      </w:hyperlink>
    </w:p>
    <w:p w14:paraId="5AAB5FBF" w14:textId="77777777" w:rsidR="009633AC" w:rsidRDefault="00000000" w:rsidP="009633AC">
      <w:pPr>
        <w:pStyle w:val="TOC1"/>
        <w:rPr>
          <w:rFonts w:asciiTheme="minorHAnsi" w:eastAsiaTheme="minorEastAsia" w:hAnsiTheme="minorHAnsi" w:cstheme="minorBidi"/>
          <w:iCs w:val="0"/>
          <w:kern w:val="2"/>
          <w:sz w:val="22"/>
          <w:szCs w:val="22"/>
          <w:lang w:val="en-US" w:eastAsia="en-US"/>
          <w14:ligatures w14:val="standardContextual"/>
        </w:rPr>
      </w:pPr>
      <w:hyperlink w:anchor="_Toc161911188" w:history="1">
        <w:r w:rsidR="009633AC" w:rsidRPr="00BB1C15">
          <w:rPr>
            <w:rStyle w:val="Hyperlink"/>
          </w:rPr>
          <w:t>DIVIDENDS AND DISTRIBUTION</w:t>
        </w:r>
        <w:r w:rsidR="009633AC">
          <w:rPr>
            <w:webHidden/>
          </w:rPr>
          <w:tab/>
        </w:r>
        <w:r w:rsidR="009633AC">
          <w:rPr>
            <w:webHidden/>
          </w:rPr>
          <w:fldChar w:fldCharType="begin"/>
        </w:r>
        <w:r w:rsidR="009633AC">
          <w:rPr>
            <w:webHidden/>
          </w:rPr>
          <w:instrText xml:space="preserve"> PAGEREF _Toc161911188 \h </w:instrText>
        </w:r>
        <w:r w:rsidR="009633AC">
          <w:rPr>
            <w:webHidden/>
          </w:rPr>
        </w:r>
        <w:r w:rsidR="009633AC">
          <w:rPr>
            <w:webHidden/>
          </w:rPr>
          <w:fldChar w:fldCharType="separate"/>
        </w:r>
        <w:r w:rsidR="009633AC">
          <w:rPr>
            <w:webHidden/>
          </w:rPr>
          <w:t>39</w:t>
        </w:r>
        <w:r w:rsidR="009633AC">
          <w:rPr>
            <w:webHidden/>
          </w:rPr>
          <w:fldChar w:fldCharType="end"/>
        </w:r>
      </w:hyperlink>
    </w:p>
    <w:p w14:paraId="7B851792" w14:textId="77777777" w:rsidR="009633AC" w:rsidRDefault="00000000" w:rsidP="009633AC">
      <w:pPr>
        <w:pStyle w:val="TOC1"/>
        <w:rPr>
          <w:rFonts w:asciiTheme="minorHAnsi" w:eastAsiaTheme="minorEastAsia" w:hAnsiTheme="minorHAnsi" w:cstheme="minorBidi"/>
          <w:iCs w:val="0"/>
          <w:kern w:val="2"/>
          <w:sz w:val="22"/>
          <w:szCs w:val="22"/>
          <w:lang w:val="en-US" w:eastAsia="en-US"/>
          <w14:ligatures w14:val="standardContextual"/>
        </w:rPr>
      </w:pPr>
      <w:hyperlink w:anchor="_Toc161911189" w:history="1">
        <w:r w:rsidR="009633AC" w:rsidRPr="00BB1C15">
          <w:rPr>
            <w:rStyle w:val="Hyperlink"/>
          </w:rPr>
          <w:t>DESCRIPTION OF THE SHARE CAPITAL</w:t>
        </w:r>
        <w:r w:rsidR="009633AC">
          <w:rPr>
            <w:webHidden/>
          </w:rPr>
          <w:tab/>
        </w:r>
        <w:r w:rsidR="009633AC">
          <w:rPr>
            <w:webHidden/>
          </w:rPr>
          <w:fldChar w:fldCharType="begin"/>
        </w:r>
        <w:r w:rsidR="009633AC">
          <w:rPr>
            <w:webHidden/>
          </w:rPr>
          <w:instrText xml:space="preserve"> PAGEREF _Toc161911189 \h </w:instrText>
        </w:r>
        <w:r w:rsidR="009633AC">
          <w:rPr>
            <w:webHidden/>
          </w:rPr>
        </w:r>
        <w:r w:rsidR="009633AC">
          <w:rPr>
            <w:webHidden/>
          </w:rPr>
          <w:fldChar w:fldCharType="separate"/>
        </w:r>
        <w:r w:rsidR="009633AC">
          <w:rPr>
            <w:webHidden/>
          </w:rPr>
          <w:t>40</w:t>
        </w:r>
        <w:r w:rsidR="009633AC">
          <w:rPr>
            <w:webHidden/>
          </w:rPr>
          <w:fldChar w:fldCharType="end"/>
        </w:r>
      </w:hyperlink>
    </w:p>
    <w:p w14:paraId="3BE63F8A" w14:textId="77777777" w:rsidR="009633AC" w:rsidRDefault="00000000" w:rsidP="009633AC">
      <w:pPr>
        <w:pStyle w:val="TOC1"/>
        <w:rPr>
          <w:rFonts w:asciiTheme="minorHAnsi" w:eastAsiaTheme="minorEastAsia" w:hAnsiTheme="minorHAnsi" w:cstheme="minorBidi"/>
          <w:iCs w:val="0"/>
          <w:kern w:val="2"/>
          <w:sz w:val="22"/>
          <w:szCs w:val="22"/>
          <w:lang w:val="en-US" w:eastAsia="en-US"/>
          <w14:ligatures w14:val="standardContextual"/>
        </w:rPr>
      </w:pPr>
      <w:hyperlink w:anchor="_Toc161911190" w:history="1">
        <w:r w:rsidR="009633AC" w:rsidRPr="00BB1C15">
          <w:rPr>
            <w:rStyle w:val="Hyperlink"/>
          </w:rPr>
          <w:t>MARKET FOR SECURITIES</w:t>
        </w:r>
        <w:r w:rsidR="009633AC">
          <w:rPr>
            <w:webHidden/>
          </w:rPr>
          <w:tab/>
        </w:r>
        <w:r w:rsidR="009633AC">
          <w:rPr>
            <w:webHidden/>
          </w:rPr>
          <w:fldChar w:fldCharType="begin"/>
        </w:r>
        <w:r w:rsidR="009633AC">
          <w:rPr>
            <w:webHidden/>
          </w:rPr>
          <w:instrText xml:space="preserve"> PAGEREF _Toc161911190 \h </w:instrText>
        </w:r>
        <w:r w:rsidR="009633AC">
          <w:rPr>
            <w:webHidden/>
          </w:rPr>
        </w:r>
        <w:r w:rsidR="009633AC">
          <w:rPr>
            <w:webHidden/>
          </w:rPr>
          <w:fldChar w:fldCharType="separate"/>
        </w:r>
        <w:r w:rsidR="009633AC">
          <w:rPr>
            <w:webHidden/>
          </w:rPr>
          <w:t>41</w:t>
        </w:r>
        <w:r w:rsidR="009633AC">
          <w:rPr>
            <w:webHidden/>
          </w:rPr>
          <w:fldChar w:fldCharType="end"/>
        </w:r>
      </w:hyperlink>
    </w:p>
    <w:p w14:paraId="0B206295" w14:textId="77777777" w:rsidR="009633AC" w:rsidRDefault="00000000" w:rsidP="009633AC">
      <w:pPr>
        <w:pStyle w:val="TOC1"/>
        <w:rPr>
          <w:rFonts w:asciiTheme="minorHAnsi" w:eastAsiaTheme="minorEastAsia" w:hAnsiTheme="minorHAnsi" w:cstheme="minorBidi"/>
          <w:iCs w:val="0"/>
          <w:kern w:val="2"/>
          <w:sz w:val="22"/>
          <w:szCs w:val="22"/>
          <w:lang w:val="en-US" w:eastAsia="en-US"/>
          <w14:ligatures w14:val="standardContextual"/>
        </w:rPr>
      </w:pPr>
      <w:hyperlink w:anchor="_Toc161911191" w:history="1">
        <w:r w:rsidR="009633AC" w:rsidRPr="00BB1C15">
          <w:rPr>
            <w:rStyle w:val="Hyperlink"/>
          </w:rPr>
          <w:t>PRIOR SALES OF SECURITIES</w:t>
        </w:r>
        <w:r w:rsidR="009633AC">
          <w:rPr>
            <w:webHidden/>
          </w:rPr>
          <w:tab/>
        </w:r>
        <w:r w:rsidR="009633AC">
          <w:rPr>
            <w:webHidden/>
          </w:rPr>
          <w:fldChar w:fldCharType="begin"/>
        </w:r>
        <w:r w:rsidR="009633AC">
          <w:rPr>
            <w:webHidden/>
          </w:rPr>
          <w:instrText xml:space="preserve"> PAGEREF _Toc161911191 \h </w:instrText>
        </w:r>
        <w:r w:rsidR="009633AC">
          <w:rPr>
            <w:webHidden/>
          </w:rPr>
        </w:r>
        <w:r w:rsidR="009633AC">
          <w:rPr>
            <w:webHidden/>
          </w:rPr>
          <w:fldChar w:fldCharType="separate"/>
        </w:r>
        <w:r w:rsidR="009633AC">
          <w:rPr>
            <w:webHidden/>
          </w:rPr>
          <w:t>41</w:t>
        </w:r>
        <w:r w:rsidR="009633AC">
          <w:rPr>
            <w:webHidden/>
          </w:rPr>
          <w:fldChar w:fldCharType="end"/>
        </w:r>
      </w:hyperlink>
    </w:p>
    <w:p w14:paraId="7472B29C" w14:textId="77777777" w:rsidR="009633AC" w:rsidRDefault="00000000" w:rsidP="009633AC">
      <w:pPr>
        <w:pStyle w:val="TOC1"/>
        <w:rPr>
          <w:rFonts w:asciiTheme="minorHAnsi" w:eastAsiaTheme="minorEastAsia" w:hAnsiTheme="minorHAnsi" w:cstheme="minorBidi"/>
          <w:iCs w:val="0"/>
          <w:kern w:val="2"/>
          <w:sz w:val="22"/>
          <w:szCs w:val="22"/>
          <w:lang w:val="en-US" w:eastAsia="en-US"/>
          <w14:ligatures w14:val="standardContextual"/>
        </w:rPr>
      </w:pPr>
      <w:hyperlink w:anchor="_Toc161911192" w:history="1">
        <w:r w:rsidR="009633AC" w:rsidRPr="00BB1C15">
          <w:rPr>
            <w:rStyle w:val="Hyperlink"/>
          </w:rPr>
          <w:t>DIRECTORS AND OFFICERS</w:t>
        </w:r>
        <w:r w:rsidR="009633AC">
          <w:rPr>
            <w:webHidden/>
          </w:rPr>
          <w:tab/>
        </w:r>
        <w:r w:rsidR="009633AC">
          <w:rPr>
            <w:webHidden/>
          </w:rPr>
          <w:fldChar w:fldCharType="begin"/>
        </w:r>
        <w:r w:rsidR="009633AC">
          <w:rPr>
            <w:webHidden/>
          </w:rPr>
          <w:instrText xml:space="preserve"> PAGEREF _Toc161911192 \h </w:instrText>
        </w:r>
        <w:r w:rsidR="009633AC">
          <w:rPr>
            <w:webHidden/>
          </w:rPr>
        </w:r>
        <w:r w:rsidR="009633AC">
          <w:rPr>
            <w:webHidden/>
          </w:rPr>
          <w:fldChar w:fldCharType="separate"/>
        </w:r>
        <w:r w:rsidR="009633AC">
          <w:rPr>
            <w:webHidden/>
          </w:rPr>
          <w:t>42</w:t>
        </w:r>
        <w:r w:rsidR="009633AC">
          <w:rPr>
            <w:webHidden/>
          </w:rPr>
          <w:fldChar w:fldCharType="end"/>
        </w:r>
      </w:hyperlink>
    </w:p>
    <w:p w14:paraId="6F3B0B9F" w14:textId="77777777" w:rsidR="009633AC" w:rsidRDefault="00000000" w:rsidP="009633AC">
      <w:pPr>
        <w:pStyle w:val="TOC1"/>
        <w:rPr>
          <w:rFonts w:asciiTheme="minorHAnsi" w:eastAsiaTheme="minorEastAsia" w:hAnsiTheme="minorHAnsi" w:cstheme="minorBidi"/>
          <w:iCs w:val="0"/>
          <w:kern w:val="2"/>
          <w:sz w:val="22"/>
          <w:szCs w:val="22"/>
          <w:lang w:val="en-US" w:eastAsia="en-US"/>
          <w14:ligatures w14:val="standardContextual"/>
        </w:rPr>
      </w:pPr>
      <w:hyperlink w:anchor="_Toc161911193" w:history="1">
        <w:r w:rsidR="009633AC" w:rsidRPr="00BB1C15">
          <w:rPr>
            <w:rStyle w:val="Hyperlink"/>
          </w:rPr>
          <w:t>LEGAL PROCEEDINGS AND REGULATORY ACTIONS</w:t>
        </w:r>
        <w:r w:rsidR="009633AC">
          <w:rPr>
            <w:webHidden/>
          </w:rPr>
          <w:tab/>
        </w:r>
        <w:r w:rsidR="009633AC">
          <w:rPr>
            <w:webHidden/>
          </w:rPr>
          <w:fldChar w:fldCharType="begin"/>
        </w:r>
        <w:r w:rsidR="009633AC">
          <w:rPr>
            <w:webHidden/>
          </w:rPr>
          <w:instrText xml:space="preserve"> PAGEREF _Toc161911193 \h </w:instrText>
        </w:r>
        <w:r w:rsidR="009633AC">
          <w:rPr>
            <w:webHidden/>
          </w:rPr>
        </w:r>
        <w:r w:rsidR="009633AC">
          <w:rPr>
            <w:webHidden/>
          </w:rPr>
          <w:fldChar w:fldCharType="separate"/>
        </w:r>
        <w:r w:rsidR="009633AC">
          <w:rPr>
            <w:webHidden/>
          </w:rPr>
          <w:t>47</w:t>
        </w:r>
        <w:r w:rsidR="009633AC">
          <w:rPr>
            <w:webHidden/>
          </w:rPr>
          <w:fldChar w:fldCharType="end"/>
        </w:r>
      </w:hyperlink>
    </w:p>
    <w:p w14:paraId="4739C3D4" w14:textId="77777777" w:rsidR="009633AC" w:rsidRDefault="00000000" w:rsidP="009633AC">
      <w:pPr>
        <w:pStyle w:val="TOC1"/>
        <w:rPr>
          <w:rFonts w:asciiTheme="minorHAnsi" w:eastAsiaTheme="minorEastAsia" w:hAnsiTheme="minorHAnsi" w:cstheme="minorBidi"/>
          <w:iCs w:val="0"/>
          <w:kern w:val="2"/>
          <w:sz w:val="22"/>
          <w:szCs w:val="22"/>
          <w:lang w:val="en-US" w:eastAsia="en-US"/>
          <w14:ligatures w14:val="standardContextual"/>
        </w:rPr>
      </w:pPr>
      <w:hyperlink w:anchor="_Toc161911194" w:history="1">
        <w:r w:rsidR="009633AC" w:rsidRPr="00BB1C15">
          <w:rPr>
            <w:rStyle w:val="Hyperlink"/>
          </w:rPr>
          <w:t>INTEREST OF MANAGEMENT AND OTHERS IN MATERIAL TRANSACTIONS</w:t>
        </w:r>
        <w:r w:rsidR="009633AC">
          <w:rPr>
            <w:webHidden/>
          </w:rPr>
          <w:tab/>
        </w:r>
        <w:r w:rsidR="009633AC">
          <w:rPr>
            <w:webHidden/>
          </w:rPr>
          <w:fldChar w:fldCharType="begin"/>
        </w:r>
        <w:r w:rsidR="009633AC">
          <w:rPr>
            <w:webHidden/>
          </w:rPr>
          <w:instrText xml:space="preserve"> PAGEREF _Toc161911194 \h </w:instrText>
        </w:r>
        <w:r w:rsidR="009633AC">
          <w:rPr>
            <w:webHidden/>
          </w:rPr>
        </w:r>
        <w:r w:rsidR="009633AC">
          <w:rPr>
            <w:webHidden/>
          </w:rPr>
          <w:fldChar w:fldCharType="separate"/>
        </w:r>
        <w:r w:rsidR="009633AC">
          <w:rPr>
            <w:webHidden/>
          </w:rPr>
          <w:t>47</w:t>
        </w:r>
        <w:r w:rsidR="009633AC">
          <w:rPr>
            <w:webHidden/>
          </w:rPr>
          <w:fldChar w:fldCharType="end"/>
        </w:r>
      </w:hyperlink>
    </w:p>
    <w:p w14:paraId="0E1A799B" w14:textId="77777777" w:rsidR="009633AC" w:rsidRDefault="00000000" w:rsidP="009633AC">
      <w:pPr>
        <w:pStyle w:val="TOC1"/>
        <w:rPr>
          <w:rFonts w:asciiTheme="minorHAnsi" w:eastAsiaTheme="minorEastAsia" w:hAnsiTheme="minorHAnsi" w:cstheme="minorBidi"/>
          <w:iCs w:val="0"/>
          <w:kern w:val="2"/>
          <w:sz w:val="22"/>
          <w:szCs w:val="22"/>
          <w:lang w:val="en-US" w:eastAsia="en-US"/>
          <w14:ligatures w14:val="standardContextual"/>
        </w:rPr>
      </w:pPr>
      <w:hyperlink w:anchor="_Toc161911195" w:history="1">
        <w:r w:rsidR="009633AC" w:rsidRPr="00BB1C15">
          <w:rPr>
            <w:rStyle w:val="Hyperlink"/>
          </w:rPr>
          <w:t>TRANSFER AGENT AND REGISTRAR</w:t>
        </w:r>
        <w:r w:rsidR="009633AC">
          <w:rPr>
            <w:webHidden/>
          </w:rPr>
          <w:tab/>
        </w:r>
        <w:r w:rsidR="009633AC">
          <w:rPr>
            <w:webHidden/>
          </w:rPr>
          <w:fldChar w:fldCharType="begin"/>
        </w:r>
        <w:r w:rsidR="009633AC">
          <w:rPr>
            <w:webHidden/>
          </w:rPr>
          <w:instrText xml:space="preserve"> PAGEREF _Toc161911195 \h </w:instrText>
        </w:r>
        <w:r w:rsidR="009633AC">
          <w:rPr>
            <w:webHidden/>
          </w:rPr>
        </w:r>
        <w:r w:rsidR="009633AC">
          <w:rPr>
            <w:webHidden/>
          </w:rPr>
          <w:fldChar w:fldCharType="separate"/>
        </w:r>
        <w:r w:rsidR="009633AC">
          <w:rPr>
            <w:webHidden/>
          </w:rPr>
          <w:t>47</w:t>
        </w:r>
        <w:r w:rsidR="009633AC">
          <w:rPr>
            <w:webHidden/>
          </w:rPr>
          <w:fldChar w:fldCharType="end"/>
        </w:r>
      </w:hyperlink>
    </w:p>
    <w:p w14:paraId="28B7DDC4" w14:textId="77777777" w:rsidR="009633AC" w:rsidRDefault="00000000" w:rsidP="009633AC">
      <w:pPr>
        <w:pStyle w:val="TOC1"/>
        <w:rPr>
          <w:rFonts w:asciiTheme="minorHAnsi" w:eastAsiaTheme="minorEastAsia" w:hAnsiTheme="minorHAnsi" w:cstheme="minorBidi"/>
          <w:iCs w:val="0"/>
          <w:kern w:val="2"/>
          <w:sz w:val="22"/>
          <w:szCs w:val="22"/>
          <w:lang w:val="en-US" w:eastAsia="en-US"/>
          <w14:ligatures w14:val="standardContextual"/>
        </w:rPr>
      </w:pPr>
      <w:hyperlink w:anchor="_Toc161911196" w:history="1">
        <w:r w:rsidR="009633AC" w:rsidRPr="00BB1C15">
          <w:rPr>
            <w:rStyle w:val="Hyperlink"/>
          </w:rPr>
          <w:t>MATERIAL CONTRACTS</w:t>
        </w:r>
        <w:r w:rsidR="009633AC">
          <w:rPr>
            <w:webHidden/>
          </w:rPr>
          <w:tab/>
        </w:r>
        <w:r w:rsidR="009633AC">
          <w:rPr>
            <w:webHidden/>
          </w:rPr>
          <w:fldChar w:fldCharType="begin"/>
        </w:r>
        <w:r w:rsidR="009633AC">
          <w:rPr>
            <w:webHidden/>
          </w:rPr>
          <w:instrText xml:space="preserve"> PAGEREF _Toc161911196 \h </w:instrText>
        </w:r>
        <w:r w:rsidR="009633AC">
          <w:rPr>
            <w:webHidden/>
          </w:rPr>
        </w:r>
        <w:r w:rsidR="009633AC">
          <w:rPr>
            <w:webHidden/>
          </w:rPr>
          <w:fldChar w:fldCharType="separate"/>
        </w:r>
        <w:r w:rsidR="009633AC">
          <w:rPr>
            <w:webHidden/>
          </w:rPr>
          <w:t>48</w:t>
        </w:r>
        <w:r w:rsidR="009633AC">
          <w:rPr>
            <w:webHidden/>
          </w:rPr>
          <w:fldChar w:fldCharType="end"/>
        </w:r>
      </w:hyperlink>
    </w:p>
    <w:p w14:paraId="30C3735C" w14:textId="77777777" w:rsidR="009633AC" w:rsidRDefault="00000000" w:rsidP="009633AC">
      <w:pPr>
        <w:pStyle w:val="TOC1"/>
        <w:rPr>
          <w:rFonts w:asciiTheme="minorHAnsi" w:eastAsiaTheme="minorEastAsia" w:hAnsiTheme="minorHAnsi" w:cstheme="minorBidi"/>
          <w:iCs w:val="0"/>
          <w:kern w:val="2"/>
          <w:sz w:val="22"/>
          <w:szCs w:val="22"/>
          <w:lang w:val="en-US" w:eastAsia="en-US"/>
          <w14:ligatures w14:val="standardContextual"/>
        </w:rPr>
      </w:pPr>
      <w:hyperlink w:anchor="_Toc161911197" w:history="1">
        <w:r w:rsidR="009633AC" w:rsidRPr="00BB1C15">
          <w:rPr>
            <w:rStyle w:val="Hyperlink"/>
          </w:rPr>
          <w:t>INTEREST OF EXPERTS</w:t>
        </w:r>
        <w:r w:rsidR="009633AC">
          <w:rPr>
            <w:webHidden/>
          </w:rPr>
          <w:tab/>
        </w:r>
        <w:r w:rsidR="009633AC">
          <w:rPr>
            <w:webHidden/>
          </w:rPr>
          <w:fldChar w:fldCharType="begin"/>
        </w:r>
        <w:r w:rsidR="009633AC">
          <w:rPr>
            <w:webHidden/>
          </w:rPr>
          <w:instrText xml:space="preserve"> PAGEREF _Toc161911197 \h </w:instrText>
        </w:r>
        <w:r w:rsidR="009633AC">
          <w:rPr>
            <w:webHidden/>
          </w:rPr>
        </w:r>
        <w:r w:rsidR="009633AC">
          <w:rPr>
            <w:webHidden/>
          </w:rPr>
          <w:fldChar w:fldCharType="separate"/>
        </w:r>
        <w:r w:rsidR="009633AC">
          <w:rPr>
            <w:webHidden/>
          </w:rPr>
          <w:t>48</w:t>
        </w:r>
        <w:r w:rsidR="009633AC">
          <w:rPr>
            <w:webHidden/>
          </w:rPr>
          <w:fldChar w:fldCharType="end"/>
        </w:r>
      </w:hyperlink>
    </w:p>
    <w:p w14:paraId="552D4B04" w14:textId="77777777" w:rsidR="009633AC" w:rsidRDefault="00000000" w:rsidP="009633AC">
      <w:pPr>
        <w:pStyle w:val="TOC1"/>
        <w:rPr>
          <w:rFonts w:asciiTheme="minorHAnsi" w:eastAsiaTheme="minorEastAsia" w:hAnsiTheme="minorHAnsi" w:cstheme="minorBidi"/>
          <w:iCs w:val="0"/>
          <w:kern w:val="2"/>
          <w:sz w:val="22"/>
          <w:szCs w:val="22"/>
          <w:lang w:val="en-US" w:eastAsia="en-US"/>
          <w14:ligatures w14:val="standardContextual"/>
        </w:rPr>
      </w:pPr>
      <w:hyperlink w:anchor="_Toc161911198" w:history="1">
        <w:r w:rsidR="009633AC" w:rsidRPr="00BB1C15">
          <w:rPr>
            <w:rStyle w:val="Hyperlink"/>
          </w:rPr>
          <w:t>AUDIT COMMITTEE</w:t>
        </w:r>
        <w:r w:rsidR="009633AC">
          <w:rPr>
            <w:webHidden/>
          </w:rPr>
          <w:tab/>
        </w:r>
        <w:r w:rsidR="009633AC">
          <w:rPr>
            <w:webHidden/>
          </w:rPr>
          <w:fldChar w:fldCharType="begin"/>
        </w:r>
        <w:r w:rsidR="009633AC">
          <w:rPr>
            <w:webHidden/>
          </w:rPr>
          <w:instrText xml:space="preserve"> PAGEREF _Toc161911198 \h </w:instrText>
        </w:r>
        <w:r w:rsidR="009633AC">
          <w:rPr>
            <w:webHidden/>
          </w:rPr>
        </w:r>
        <w:r w:rsidR="009633AC">
          <w:rPr>
            <w:webHidden/>
          </w:rPr>
          <w:fldChar w:fldCharType="separate"/>
        </w:r>
        <w:r w:rsidR="009633AC">
          <w:rPr>
            <w:webHidden/>
          </w:rPr>
          <w:t>48</w:t>
        </w:r>
        <w:r w:rsidR="009633AC">
          <w:rPr>
            <w:webHidden/>
          </w:rPr>
          <w:fldChar w:fldCharType="end"/>
        </w:r>
      </w:hyperlink>
    </w:p>
    <w:p w14:paraId="45A3B3F1" w14:textId="77777777" w:rsidR="009633AC" w:rsidRDefault="00000000" w:rsidP="009633AC">
      <w:pPr>
        <w:pStyle w:val="TOC1"/>
        <w:rPr>
          <w:rFonts w:asciiTheme="minorHAnsi" w:eastAsiaTheme="minorEastAsia" w:hAnsiTheme="minorHAnsi" w:cstheme="minorBidi"/>
          <w:iCs w:val="0"/>
          <w:kern w:val="2"/>
          <w:sz w:val="22"/>
          <w:szCs w:val="22"/>
          <w:lang w:val="en-US" w:eastAsia="en-US"/>
          <w14:ligatures w14:val="standardContextual"/>
        </w:rPr>
      </w:pPr>
      <w:hyperlink w:anchor="_Toc161911199" w:history="1">
        <w:r w:rsidR="009633AC" w:rsidRPr="00BB1C15">
          <w:rPr>
            <w:rStyle w:val="Hyperlink"/>
          </w:rPr>
          <w:t>ADDITIONAL INFORMATION</w:t>
        </w:r>
        <w:r w:rsidR="009633AC">
          <w:rPr>
            <w:webHidden/>
          </w:rPr>
          <w:tab/>
        </w:r>
        <w:r w:rsidR="009633AC">
          <w:rPr>
            <w:webHidden/>
          </w:rPr>
          <w:fldChar w:fldCharType="begin"/>
        </w:r>
        <w:r w:rsidR="009633AC">
          <w:rPr>
            <w:webHidden/>
          </w:rPr>
          <w:instrText xml:space="preserve"> PAGEREF _Toc161911199 \h </w:instrText>
        </w:r>
        <w:r w:rsidR="009633AC">
          <w:rPr>
            <w:webHidden/>
          </w:rPr>
        </w:r>
        <w:r w:rsidR="009633AC">
          <w:rPr>
            <w:webHidden/>
          </w:rPr>
          <w:fldChar w:fldCharType="separate"/>
        </w:r>
        <w:r w:rsidR="009633AC">
          <w:rPr>
            <w:webHidden/>
          </w:rPr>
          <w:t>50</w:t>
        </w:r>
        <w:r w:rsidR="009633AC">
          <w:rPr>
            <w:webHidden/>
          </w:rPr>
          <w:fldChar w:fldCharType="end"/>
        </w:r>
      </w:hyperlink>
    </w:p>
    <w:p w14:paraId="343AF613" w14:textId="77777777" w:rsidR="009633AC" w:rsidRDefault="00000000" w:rsidP="009633AC">
      <w:pPr>
        <w:pStyle w:val="TOC1"/>
        <w:rPr>
          <w:rFonts w:asciiTheme="minorHAnsi" w:eastAsiaTheme="minorEastAsia" w:hAnsiTheme="minorHAnsi" w:cstheme="minorBidi"/>
          <w:iCs w:val="0"/>
          <w:kern w:val="2"/>
          <w:sz w:val="22"/>
          <w:szCs w:val="22"/>
          <w:lang w:val="en-US" w:eastAsia="en-US"/>
          <w14:ligatures w14:val="standardContextual"/>
        </w:rPr>
      </w:pPr>
      <w:hyperlink w:anchor="_Toc161911200" w:history="1">
        <w:r w:rsidR="009633AC" w:rsidRPr="00BB1C15">
          <w:rPr>
            <w:rStyle w:val="Hyperlink"/>
            <w:rFonts w:eastAsiaTheme="majorEastAsia"/>
          </w:rPr>
          <w:t>SCHEDULE "A" AUDIT AND RISK MANAGEMENT COMMITTEE CHARTER</w:t>
        </w:r>
        <w:r w:rsidR="009633AC">
          <w:rPr>
            <w:webHidden/>
          </w:rPr>
          <w:tab/>
        </w:r>
        <w:r w:rsidR="009633AC">
          <w:rPr>
            <w:webHidden/>
          </w:rPr>
          <w:fldChar w:fldCharType="begin"/>
        </w:r>
        <w:r w:rsidR="009633AC">
          <w:rPr>
            <w:webHidden/>
          </w:rPr>
          <w:instrText xml:space="preserve"> PAGEREF _Toc161911200 \h </w:instrText>
        </w:r>
        <w:r w:rsidR="009633AC">
          <w:rPr>
            <w:webHidden/>
          </w:rPr>
        </w:r>
        <w:r w:rsidR="009633AC">
          <w:rPr>
            <w:webHidden/>
          </w:rPr>
          <w:fldChar w:fldCharType="separate"/>
        </w:r>
        <w:r w:rsidR="009633AC">
          <w:rPr>
            <w:webHidden/>
          </w:rPr>
          <w:t>A-1</w:t>
        </w:r>
        <w:r w:rsidR="009633AC">
          <w:rPr>
            <w:webHidden/>
          </w:rPr>
          <w:fldChar w:fldCharType="end"/>
        </w:r>
      </w:hyperlink>
    </w:p>
    <w:p w14:paraId="54FF025B" w14:textId="77777777" w:rsidR="009633AC" w:rsidRDefault="009633AC" w:rsidP="009633AC">
      <w:r>
        <w:rPr>
          <w:rFonts w:cs="Arial"/>
          <w:iCs/>
          <w:szCs w:val="20"/>
          <w:lang w:val="fr-CA" w:eastAsia="fr-FR"/>
        </w:rPr>
        <w:fldChar w:fldCharType="end"/>
      </w:r>
    </w:p>
    <w:p w14:paraId="560A3386" w14:textId="77777777" w:rsidR="009633AC" w:rsidRDefault="009633AC" w:rsidP="009633AC">
      <w:pPr>
        <w:rPr>
          <w:lang w:val="en-US"/>
        </w:rPr>
      </w:pPr>
    </w:p>
    <w:p w14:paraId="60678D0B" w14:textId="77777777" w:rsidR="009633AC" w:rsidRPr="00D87892" w:rsidRDefault="009633AC" w:rsidP="009633AC">
      <w:pPr>
        <w:rPr>
          <w:lang w:val="en-US"/>
        </w:rPr>
      </w:pPr>
    </w:p>
    <w:p w14:paraId="7F9AD860" w14:textId="77777777" w:rsidR="009633AC" w:rsidRPr="00D87892" w:rsidRDefault="009633AC" w:rsidP="009633AC">
      <w:pPr>
        <w:rPr>
          <w:lang w:val="en-US"/>
        </w:rPr>
      </w:pPr>
    </w:p>
    <w:p w14:paraId="726BE4F7" w14:textId="77777777" w:rsidR="009633AC" w:rsidRPr="00D87892" w:rsidRDefault="009633AC" w:rsidP="009633AC">
      <w:pPr>
        <w:rPr>
          <w:lang w:val="en-US"/>
        </w:rPr>
      </w:pPr>
    </w:p>
    <w:p w14:paraId="303BCEF1" w14:textId="77777777" w:rsidR="009633AC" w:rsidRPr="00D87892" w:rsidRDefault="009633AC" w:rsidP="009633AC">
      <w:pPr>
        <w:rPr>
          <w:lang w:val="en-US"/>
        </w:rPr>
      </w:pPr>
    </w:p>
    <w:p w14:paraId="017ECD18" w14:textId="77777777" w:rsidR="009633AC" w:rsidRPr="00D87892" w:rsidRDefault="009633AC" w:rsidP="009633AC">
      <w:pPr>
        <w:rPr>
          <w:lang w:val="en-US"/>
        </w:rPr>
      </w:pPr>
    </w:p>
    <w:p w14:paraId="788EC784" w14:textId="77777777" w:rsidR="009633AC" w:rsidRPr="00D87892" w:rsidRDefault="009633AC" w:rsidP="009633AC">
      <w:pPr>
        <w:rPr>
          <w:lang w:val="en-US"/>
        </w:rPr>
      </w:pPr>
    </w:p>
    <w:p w14:paraId="1888FCD5" w14:textId="77777777" w:rsidR="009633AC" w:rsidRPr="00D87892" w:rsidRDefault="009633AC" w:rsidP="009633AC">
      <w:pPr>
        <w:rPr>
          <w:lang w:val="en-US"/>
        </w:rPr>
      </w:pPr>
    </w:p>
    <w:p w14:paraId="5A58295B" w14:textId="77777777" w:rsidR="009633AC" w:rsidRPr="00D87892" w:rsidRDefault="009633AC" w:rsidP="009633AC">
      <w:pPr>
        <w:rPr>
          <w:lang w:val="en-US"/>
        </w:rPr>
      </w:pPr>
    </w:p>
    <w:p w14:paraId="033767D2" w14:textId="77777777" w:rsidR="009633AC" w:rsidRDefault="009633AC" w:rsidP="009633AC">
      <w:pPr>
        <w:tabs>
          <w:tab w:val="left" w:pos="5160"/>
        </w:tabs>
        <w:rPr>
          <w:lang w:val="en-US"/>
        </w:rPr>
      </w:pPr>
      <w:r>
        <w:rPr>
          <w:lang w:val="en-US"/>
        </w:rPr>
        <w:tab/>
      </w:r>
    </w:p>
    <w:p w14:paraId="7F969C02" w14:textId="77777777" w:rsidR="009633AC" w:rsidRPr="00D87892" w:rsidRDefault="009633AC" w:rsidP="009633AC">
      <w:pPr>
        <w:tabs>
          <w:tab w:val="left" w:pos="5160"/>
        </w:tabs>
        <w:rPr>
          <w:lang w:val="en-US"/>
        </w:rPr>
        <w:sectPr w:rsidR="009633AC" w:rsidRPr="00D87892" w:rsidSect="001C35FD">
          <w:headerReference w:type="first" r:id="rId14"/>
          <w:footerReference w:type="first" r:id="rId15"/>
          <w:pgSz w:w="12240" w:h="15840" w:code="1"/>
          <w:pgMar w:top="1440" w:right="1440" w:bottom="1440" w:left="1440" w:header="706" w:footer="720" w:gutter="0"/>
          <w:pgNumType w:fmt="lowerRoman" w:start="1"/>
          <w:cols w:space="708"/>
          <w:titlePg/>
          <w:docGrid w:linePitch="360"/>
        </w:sectPr>
      </w:pPr>
      <w:r>
        <w:rPr>
          <w:lang w:val="en-US"/>
        </w:rPr>
        <w:tab/>
      </w:r>
    </w:p>
    <w:p w14:paraId="4FEBE5D3" w14:textId="77777777" w:rsidR="009633AC" w:rsidRPr="00E042BB" w:rsidRDefault="009633AC" w:rsidP="009633AC">
      <w:pPr>
        <w:pStyle w:val="ProspectusL1"/>
      </w:pPr>
      <w:bookmarkStart w:id="3" w:name="_Toc161911180"/>
      <w:r w:rsidRPr="00E042BB">
        <w:lastRenderedPageBreak/>
        <w:t>CAUTIONARY STATEMENT REGARDING FORWARD-LOOKING STATEMENTS</w:t>
      </w:r>
      <w:bookmarkEnd w:id="1"/>
      <w:bookmarkEnd w:id="2"/>
      <w:bookmarkEnd w:id="3"/>
    </w:p>
    <w:p w14:paraId="27DCAC31" w14:textId="77777777" w:rsidR="009633AC" w:rsidRPr="00510E97" w:rsidRDefault="009633AC" w:rsidP="009633AC">
      <w:pPr>
        <w:pStyle w:val="ProspectusCont1"/>
      </w:pPr>
      <w:r w:rsidRPr="00510E97">
        <w:t>Except for statements of historical fact relating to Amaroq Minerals Ltd. (the "</w:t>
      </w:r>
      <w:r w:rsidRPr="00510E97">
        <w:rPr>
          <w:b/>
        </w:rPr>
        <w:t>Corporation</w:t>
      </w:r>
      <w:r w:rsidRPr="00510E97">
        <w:t>"), certain statements in this annual information form (this "</w:t>
      </w:r>
      <w:r w:rsidRPr="00510E97">
        <w:rPr>
          <w:b/>
        </w:rPr>
        <w:t>AIF</w:t>
      </w:r>
      <w:r w:rsidRPr="00510E97">
        <w:t>") may constitute forward-looking information, future oriented financial information or financial outlooks (collectively, "</w:t>
      </w:r>
      <w:r w:rsidRPr="00510E97">
        <w:rPr>
          <w:b/>
        </w:rPr>
        <w:t>forward-looking information</w:t>
      </w:r>
      <w:r w:rsidRPr="00510E97">
        <w:t xml:space="preserve">") within the meaning of Canadian securities laws. Forward-looking information may relate to this AIF, the Corporation's future outlook and anticipated events or results and, in some cases, can be identified by terminology such as "may", "could", "should", "expect", "plan", "anticipate", "believe", "intend", "estimate", "project", "predict", "potential", "targeted", "possible", "continue" or other similar expressions concerning matters that are not historical facts and include, but are not limited in any manner to, those with respect to commodity prices, mineral resources, mineral </w:t>
      </w:r>
      <w:r>
        <w:t>reserves</w:t>
      </w:r>
      <w:r w:rsidRPr="00510E97">
        <w:t>, the Corporation's expectations, strategies and plans for its mineral properties (the "</w:t>
      </w:r>
      <w:r w:rsidRPr="00510E97">
        <w:rPr>
          <w:b/>
          <w:bCs/>
        </w:rPr>
        <w:t>Properties</w:t>
      </w:r>
      <w:r w:rsidRPr="00510E97">
        <w:t>"), including the Corporation's planned exploration and development activities, realization of mineral reserves, existence or realization of mineral resource estimates, the results of future exploration and drilling and estimated completion dates for certain milestone, the timing and amount of future production, the timing of construction of the proposed mine and process facilities, capital and operating expenditures, the timing of receipt of permits, rights and authorizations, and any and all other timing, development, operational, financial, economic, legal, regulatory and political factors that may influence future events or conditions, as such matters may be applicable. In particular, this AIF contains forward-looking information pertaining to the following:</w:t>
      </w:r>
    </w:p>
    <w:p w14:paraId="57C693CA" w14:textId="77777777" w:rsidR="009633AC" w:rsidRPr="00E042BB" w:rsidRDefault="009633AC" w:rsidP="009633AC">
      <w:pPr>
        <w:pStyle w:val="ProspectusL8"/>
      </w:pPr>
      <w:r w:rsidRPr="00E042BB">
        <w:t>strategy, growth, development and acquisition opportunities, and return on existing assets;</w:t>
      </w:r>
    </w:p>
    <w:p w14:paraId="78208ADD" w14:textId="77777777" w:rsidR="009633AC" w:rsidRPr="00E042BB" w:rsidRDefault="009633AC" w:rsidP="009633AC">
      <w:pPr>
        <w:pStyle w:val="ProspectusL8"/>
      </w:pPr>
      <w:r w:rsidRPr="00E042BB">
        <w:t>operational efficiency and financial management;</w:t>
      </w:r>
    </w:p>
    <w:p w14:paraId="137C425D" w14:textId="77777777" w:rsidR="009633AC" w:rsidRPr="00E042BB" w:rsidRDefault="009633AC" w:rsidP="009633AC">
      <w:pPr>
        <w:pStyle w:val="ProspectusL8"/>
      </w:pPr>
      <w:r w:rsidRPr="00E042BB">
        <w:t>anticipated revenue and cash needs, as well as estimates regarding capital and operating expenditures;</w:t>
      </w:r>
    </w:p>
    <w:p w14:paraId="210AA9DA" w14:textId="77777777" w:rsidR="009633AC" w:rsidRPr="00E042BB" w:rsidRDefault="009633AC" w:rsidP="009633AC">
      <w:pPr>
        <w:pStyle w:val="ProspectusL8"/>
      </w:pPr>
      <w:r w:rsidRPr="00E042BB">
        <w:t>the ability to raise additional capital;</w:t>
      </w:r>
    </w:p>
    <w:p w14:paraId="3122CF49" w14:textId="77777777" w:rsidR="009633AC" w:rsidRPr="00E042BB" w:rsidRDefault="009633AC" w:rsidP="009633AC">
      <w:pPr>
        <w:pStyle w:val="ProspectusL8"/>
      </w:pPr>
      <w:r w:rsidRPr="00E042BB">
        <w:t>the estimation of any mineral resources and the realization of mineral reserves based on mineral resource;</w:t>
      </w:r>
    </w:p>
    <w:p w14:paraId="1F76FB1D" w14:textId="77777777" w:rsidR="009633AC" w:rsidRPr="00E042BB" w:rsidRDefault="009633AC" w:rsidP="009633AC">
      <w:pPr>
        <w:pStyle w:val="ProspectusL8"/>
      </w:pPr>
      <w:r w:rsidRPr="00E042BB">
        <w:t>estimated future development, if any, and possible variations of ore grade or recovery rates;</w:t>
      </w:r>
    </w:p>
    <w:p w14:paraId="328C47FA" w14:textId="77777777" w:rsidR="009633AC" w:rsidRPr="00E042BB" w:rsidRDefault="009633AC" w:rsidP="009633AC">
      <w:pPr>
        <w:pStyle w:val="ProspectusL8"/>
      </w:pPr>
      <w:r w:rsidRPr="00E042BB">
        <w:t>proposed expenditures for exploration work and general and administrative expenses;</w:t>
      </w:r>
    </w:p>
    <w:p w14:paraId="4AB1FD63" w14:textId="77777777" w:rsidR="009633AC" w:rsidRPr="00E042BB" w:rsidRDefault="009633AC" w:rsidP="009633AC">
      <w:pPr>
        <w:pStyle w:val="ProspectusL8"/>
      </w:pPr>
      <w:r w:rsidRPr="00E042BB">
        <w:t>estimated results of planned exploration and development activities;</w:t>
      </w:r>
    </w:p>
    <w:p w14:paraId="2952A851" w14:textId="77777777" w:rsidR="009633AC" w:rsidRPr="00E042BB" w:rsidRDefault="009633AC" w:rsidP="009633AC">
      <w:pPr>
        <w:pStyle w:val="ProspectusL8"/>
      </w:pPr>
      <w:r w:rsidRPr="00E042BB">
        <w:t>expectations regarding competition from other companies globally;</w:t>
      </w:r>
    </w:p>
    <w:p w14:paraId="630FEDBC" w14:textId="77777777" w:rsidR="009633AC" w:rsidRPr="00E042BB" w:rsidRDefault="009633AC" w:rsidP="009633AC">
      <w:pPr>
        <w:pStyle w:val="ProspectusL8"/>
      </w:pPr>
      <w:r w:rsidRPr="00E042BB">
        <w:t>the ability to maintain supplier relationships;</w:t>
      </w:r>
    </w:p>
    <w:p w14:paraId="75203BFB" w14:textId="77777777" w:rsidR="009633AC" w:rsidRPr="00E042BB" w:rsidRDefault="009633AC" w:rsidP="009633AC">
      <w:pPr>
        <w:pStyle w:val="ProspectusL8"/>
      </w:pPr>
      <w:r w:rsidRPr="00E042BB">
        <w:t>anticipated trends and challenges in the Corporation's business and the markets in which it operates, including:</w:t>
      </w:r>
    </w:p>
    <w:p w14:paraId="70AA0198" w14:textId="77777777" w:rsidR="009633AC" w:rsidRPr="00E042BB" w:rsidRDefault="009633AC" w:rsidP="009633AC">
      <w:pPr>
        <w:pStyle w:val="ProspectusL9"/>
        <w:rPr>
          <w:lang w:val="en-US"/>
        </w:rPr>
      </w:pPr>
      <w:r w:rsidRPr="00E042BB">
        <w:rPr>
          <w:lang w:val="en-US"/>
        </w:rPr>
        <w:t>with</w:t>
      </w:r>
      <w:r>
        <w:rPr>
          <w:lang w:val="en-US"/>
        </w:rPr>
        <w:t xml:space="preserve"> </w:t>
      </w:r>
      <w:r w:rsidRPr="00E042BB">
        <w:rPr>
          <w:lang w:val="en-US"/>
        </w:rPr>
        <w:t>respect to potential new gold projects, supply outlook and growth opportunities;</w:t>
      </w:r>
    </w:p>
    <w:p w14:paraId="450C1656" w14:textId="77777777" w:rsidR="009633AC" w:rsidRPr="00124878" w:rsidRDefault="009633AC" w:rsidP="009633AC">
      <w:pPr>
        <w:pStyle w:val="ProspectusL9"/>
      </w:pPr>
      <w:r w:rsidRPr="00124878">
        <w:t>limitations of insurance coverage;</w:t>
      </w:r>
    </w:p>
    <w:p w14:paraId="7BC1AD4B" w14:textId="77777777" w:rsidR="009633AC" w:rsidRPr="00E042BB" w:rsidRDefault="009633AC" w:rsidP="009633AC">
      <w:pPr>
        <w:pStyle w:val="ProspectusL9"/>
        <w:rPr>
          <w:lang w:val="en-US"/>
        </w:rPr>
      </w:pPr>
      <w:r w:rsidRPr="00E042BB">
        <w:rPr>
          <w:lang w:val="en-US"/>
        </w:rPr>
        <w:t>the future price of and demand for gold;</w:t>
      </w:r>
    </w:p>
    <w:p w14:paraId="5021FE19" w14:textId="77777777" w:rsidR="009633AC" w:rsidRPr="00E042BB" w:rsidRDefault="009633AC" w:rsidP="009633AC">
      <w:pPr>
        <w:pStyle w:val="ProspectusL9"/>
        <w:rPr>
          <w:lang w:val="en-US"/>
        </w:rPr>
      </w:pPr>
      <w:r w:rsidRPr="00E042BB">
        <w:rPr>
          <w:lang w:val="en-US"/>
        </w:rPr>
        <w:t>the use of net proceeds of available funds;</w:t>
      </w:r>
    </w:p>
    <w:p w14:paraId="431DD5A1" w14:textId="77777777" w:rsidR="009633AC" w:rsidRPr="00124878" w:rsidRDefault="009633AC" w:rsidP="009633AC">
      <w:pPr>
        <w:pStyle w:val="ProspectusL9"/>
      </w:pPr>
      <w:r w:rsidRPr="00124878">
        <w:t>economic and financial conditions;</w:t>
      </w:r>
    </w:p>
    <w:p w14:paraId="6A996571" w14:textId="77777777" w:rsidR="009633AC" w:rsidRPr="00E042BB" w:rsidRDefault="009633AC" w:rsidP="009633AC">
      <w:pPr>
        <w:pStyle w:val="ProspectusL9"/>
        <w:rPr>
          <w:lang w:val="en-US"/>
        </w:rPr>
      </w:pPr>
      <w:r w:rsidRPr="00E042BB">
        <w:rPr>
          <w:lang w:val="en-US"/>
        </w:rPr>
        <w:t>interest rates and foreign exchange rates;</w:t>
      </w:r>
    </w:p>
    <w:p w14:paraId="19D585BB" w14:textId="77777777" w:rsidR="009633AC" w:rsidRPr="00E042BB" w:rsidRDefault="009633AC" w:rsidP="009633AC">
      <w:pPr>
        <w:pStyle w:val="ProspectusL9"/>
        <w:rPr>
          <w:lang w:val="en-US"/>
        </w:rPr>
      </w:pPr>
      <w:r w:rsidRPr="00E042BB">
        <w:rPr>
          <w:lang w:val="en-US"/>
        </w:rPr>
        <w:t>performance of counterparties in fulfilling their obligations;</w:t>
      </w:r>
    </w:p>
    <w:p w14:paraId="2F781D11" w14:textId="77777777" w:rsidR="009633AC" w:rsidRPr="00E042BB" w:rsidRDefault="009633AC" w:rsidP="009633AC">
      <w:pPr>
        <w:pStyle w:val="ProspectusL9"/>
        <w:rPr>
          <w:lang w:val="en-US"/>
        </w:rPr>
      </w:pPr>
      <w:r w:rsidRPr="00E042BB">
        <w:rPr>
          <w:lang w:val="en-US"/>
        </w:rPr>
        <w:lastRenderedPageBreak/>
        <w:t>government regulation of mining operations, accidents, environmental risks, exploration risks, reclamation and rehabilitation expenses;</w:t>
      </w:r>
    </w:p>
    <w:p w14:paraId="2DFFEF9E" w14:textId="77777777" w:rsidR="009633AC" w:rsidRDefault="009633AC" w:rsidP="009633AC">
      <w:pPr>
        <w:pStyle w:val="ProspectusL9"/>
      </w:pPr>
      <w:r w:rsidRPr="00124878">
        <w:t>title disputes or claims; and</w:t>
      </w:r>
    </w:p>
    <w:p w14:paraId="4E983D17" w14:textId="77777777" w:rsidR="009633AC" w:rsidRPr="005C6077" w:rsidRDefault="009633AC" w:rsidP="009633AC">
      <w:pPr>
        <w:pStyle w:val="ProspectusL9"/>
        <w:rPr>
          <w:lang w:val="en-US"/>
        </w:rPr>
      </w:pPr>
      <w:r w:rsidRPr="005C6077">
        <w:rPr>
          <w:lang w:val="en-US"/>
        </w:rPr>
        <w:t>the timing and possible outcome of pending regulatory and permitting matters.</w:t>
      </w:r>
    </w:p>
    <w:p w14:paraId="416C7A24" w14:textId="77777777" w:rsidR="009633AC" w:rsidRDefault="009633AC" w:rsidP="009633AC">
      <w:pPr>
        <w:pStyle w:val="ProspectusCont1"/>
      </w:pPr>
      <w:r w:rsidRPr="00510E97">
        <w:t>Such forward-looking information is based on a number of material factors and assumptions of management in light of management's experience and perception of trends, current conditions and expected developments, as well as other factors that management believes to be relevant and reasonable in the circumstances, as of the date of this AIF, including, without limitation, the timing and results of exploration and drilling, the availability and final receipt of required approvals, licences and permits, obtaining required renewals for existing approvals, licences and permits, sufficient working capital to develop and operate any proposed mine, access to adequate services and supplies, the inability to guarantee the title to the Corporation's mineral Properties, the accuracy of budgeted exploration and development costs and expenditures, including to complete development of the infrastructure, the price of other commodities such as fuel, operating conditions being favorable, including whereby the Corporation is able to operate in a safe, efficient and effective manner, economic conditions, weather conditions, commodity prices, foreign currency exchange rates, tax rates, governmental royalty, interest rates, political and regulatory stability, access to capital and debt markets and associated costs of funds, availability of a qualified work force, and the ultimate ability to mine, process and sell mineral products on economically favorable terms. While the Corporation considers these material factors and assumptions to be reasonable based on information currently available to it, they may prove to be incorrect. Actual results may vary from such forward-looking information for a variety of reasons, including, but not limited to, the risks and uncertainties disclosed in this AIF. The Corporation cautions that the foregoing lists of important assumptions and factors are not exhaustive. Other events or circumstances could cause actual results to differ materially from those estimated or projected and expressed in, or implied by, the forward-looking information contained herein. There can be no assurance that forward-looking information will prove to be accurate, as actual results and future events could differ materially from those anticipated in such information. Accordingly, investors are cautioned against placing undue reliance on forward-looking statements. Further detail relating to many of these factors are discussed in the section entitled "</w:t>
      </w:r>
      <w:r w:rsidRPr="00510E97">
        <w:rPr>
          <w:i/>
        </w:rPr>
        <w:t>Risk Factors</w:t>
      </w:r>
      <w:r w:rsidRPr="00510E97">
        <w:t>".</w:t>
      </w:r>
    </w:p>
    <w:p w14:paraId="7996884C" w14:textId="77777777" w:rsidR="009633AC" w:rsidRPr="00510E97" w:rsidRDefault="009633AC" w:rsidP="009633AC">
      <w:pPr>
        <w:pStyle w:val="ProspectusCont1"/>
        <w:rPr>
          <w:lang w:val="en-US"/>
        </w:rPr>
      </w:pPr>
      <w:r w:rsidRPr="00510E97">
        <w:rPr>
          <w:lang w:val="en-US"/>
        </w:rPr>
        <w:t>Any forward-looking information in this AIF is based only on information currently available and speaks only as of the date it was made. Other than as required by law, the Corporation does not intend, and undertakes no obligation, to update any forward-looking information to reflect, among other things, new information or future events.</w:t>
      </w:r>
    </w:p>
    <w:p w14:paraId="1EF7C7EB" w14:textId="77777777" w:rsidR="009633AC" w:rsidRPr="00124878" w:rsidRDefault="009633AC" w:rsidP="009633AC">
      <w:pPr>
        <w:pStyle w:val="ProspectusL1"/>
        <w:spacing w:after="120"/>
      </w:pPr>
      <w:bookmarkStart w:id="4" w:name="_Toc42803787"/>
      <w:bookmarkStart w:id="5" w:name="_Toc57649484"/>
      <w:bookmarkStart w:id="6" w:name="_Toc161911181"/>
      <w:r w:rsidRPr="00124878">
        <w:t>PRELIMINARY NOTES</w:t>
      </w:r>
      <w:bookmarkEnd w:id="4"/>
      <w:bookmarkEnd w:id="5"/>
      <w:bookmarkEnd w:id="6"/>
    </w:p>
    <w:p w14:paraId="22BD4309" w14:textId="77777777" w:rsidR="009633AC" w:rsidRPr="00510E97" w:rsidRDefault="009633AC" w:rsidP="009633AC">
      <w:pPr>
        <w:pStyle w:val="ProspectusCont1"/>
      </w:pPr>
      <w:r w:rsidRPr="00510E97">
        <w:t xml:space="preserve">All information contained in this AIF is given as of </w:t>
      </w:r>
      <w:r>
        <w:rPr>
          <w:lang w:val="en-GB"/>
        </w:rPr>
        <w:t xml:space="preserve">March </w:t>
      </w:r>
      <w:r w:rsidRPr="00A34F9C">
        <w:rPr>
          <w:lang w:val="en-GB"/>
        </w:rPr>
        <w:t xml:space="preserve">26 </w:t>
      </w:r>
      <w:r>
        <w:rPr>
          <w:lang w:val="en-GB"/>
        </w:rPr>
        <w:t>,</w:t>
      </w:r>
      <w:r w:rsidRPr="00510E97">
        <w:t xml:space="preserve"> 20</w:t>
      </w:r>
      <w:r>
        <w:t>2</w:t>
      </w:r>
      <w:r w:rsidRPr="00A34F9C">
        <w:rPr>
          <w:lang w:val="en-GB"/>
        </w:rPr>
        <w:t>4</w:t>
      </w:r>
      <w:r w:rsidRPr="00510E97">
        <w:t xml:space="preserve">, unless otherwise stated. </w:t>
      </w:r>
    </w:p>
    <w:p w14:paraId="51C180BE" w14:textId="77777777" w:rsidR="009633AC" w:rsidRPr="00124878" w:rsidRDefault="009633AC" w:rsidP="009633AC">
      <w:pPr>
        <w:pStyle w:val="ProspectusL2"/>
        <w:spacing w:after="120"/>
      </w:pPr>
      <w:r w:rsidRPr="00124878">
        <w:t>Currency</w:t>
      </w:r>
    </w:p>
    <w:p w14:paraId="0774D603" w14:textId="77777777" w:rsidR="009633AC" w:rsidRPr="00510E97" w:rsidRDefault="009633AC" w:rsidP="009633AC">
      <w:pPr>
        <w:pStyle w:val="ProspectusCont2"/>
        <w:rPr>
          <w:lang w:val="en-US"/>
        </w:rPr>
      </w:pPr>
      <w:r w:rsidRPr="00A52F2C">
        <w:rPr>
          <w:rFonts w:eastAsiaTheme="minorHAnsi"/>
          <w:lang w:val="en-US"/>
        </w:rPr>
        <w:t>All dollar amounts referenced, unless otherwise indicated, are expressed in Canadian dollars, the same currency that the Corporation uses in its financial statements.</w:t>
      </w:r>
    </w:p>
    <w:p w14:paraId="2842F487" w14:textId="77777777" w:rsidR="009633AC" w:rsidRPr="00124878" w:rsidRDefault="009633AC" w:rsidP="009633AC">
      <w:pPr>
        <w:pStyle w:val="ProspectusL2"/>
        <w:spacing w:after="120"/>
      </w:pPr>
      <w:r w:rsidRPr="00124878">
        <w:t>Financial Statements and Management Discussion and Analysis</w:t>
      </w:r>
    </w:p>
    <w:p w14:paraId="2BABA4CE" w14:textId="77777777" w:rsidR="009633AC" w:rsidRPr="00510E97" w:rsidRDefault="009633AC" w:rsidP="009633AC">
      <w:pPr>
        <w:pStyle w:val="ProspectusCont2"/>
        <w:rPr>
          <w:lang w:val="en-US"/>
        </w:rPr>
      </w:pPr>
      <w:r w:rsidRPr="00510E97">
        <w:rPr>
          <w:lang w:val="en-US"/>
        </w:rPr>
        <w:t xml:space="preserve">This AIF should be read in conjunction with the audited financial statements of </w:t>
      </w:r>
      <w:r w:rsidRPr="00A52F2C">
        <w:rPr>
          <w:rFonts w:eastAsiaTheme="minorHAnsi"/>
          <w:color w:val="000000"/>
          <w:lang w:val="en-US"/>
        </w:rPr>
        <w:t>the Corporation</w:t>
      </w:r>
      <w:r w:rsidRPr="00510E97">
        <w:rPr>
          <w:lang w:val="en-US"/>
        </w:rPr>
        <w:t xml:space="preserve"> for the year ended December 31, 2023 (the "</w:t>
      </w:r>
      <w:r w:rsidRPr="00510E97">
        <w:rPr>
          <w:b/>
          <w:bCs/>
          <w:lang w:val="en-US"/>
        </w:rPr>
        <w:t>Audited Financial Statements</w:t>
      </w:r>
      <w:r w:rsidRPr="00510E97">
        <w:rPr>
          <w:lang w:val="en-US"/>
        </w:rPr>
        <w:t>"), and the accompanying management's discussion and analysis ("</w:t>
      </w:r>
      <w:r w:rsidRPr="00510E97">
        <w:rPr>
          <w:b/>
          <w:bCs/>
          <w:lang w:val="en-US"/>
        </w:rPr>
        <w:t>MD&amp;A</w:t>
      </w:r>
      <w:r w:rsidRPr="00510E97">
        <w:rPr>
          <w:lang w:val="en-US"/>
        </w:rPr>
        <w:t xml:space="preserve">") for that year. Unless otherwise indicated, financial information contained in this AIF is derived from the financial statements that are prepared in accordance with </w:t>
      </w:r>
      <w:r w:rsidRPr="00D467CD">
        <w:rPr>
          <w:lang w:val="en-GB"/>
        </w:rPr>
        <w:t>International Financial Reporting Standards (</w:t>
      </w:r>
      <w:r>
        <w:rPr>
          <w:lang w:val="en-GB"/>
        </w:rPr>
        <w:t>"</w:t>
      </w:r>
      <w:r w:rsidRPr="00D97EA5">
        <w:rPr>
          <w:b/>
          <w:bCs/>
          <w:lang w:val="en-GB"/>
        </w:rPr>
        <w:t>IFRS</w:t>
      </w:r>
      <w:r>
        <w:rPr>
          <w:lang w:val="en-GB"/>
        </w:rPr>
        <w:t>"</w:t>
      </w:r>
      <w:r w:rsidRPr="00D467CD">
        <w:rPr>
          <w:lang w:val="en-GB"/>
        </w:rPr>
        <w:t>)</w:t>
      </w:r>
      <w:r w:rsidRPr="00510E97">
        <w:rPr>
          <w:lang w:val="en-US"/>
        </w:rPr>
        <w:t xml:space="preserve">. The Audited Financial Statements and MD&amp;A are available at </w:t>
      </w:r>
      <w:hyperlink r:id="rId16" w:history="1">
        <w:r w:rsidRPr="00F317CC">
          <w:rPr>
            <w:rStyle w:val="Hyperlink"/>
            <w:lang w:val="en-US"/>
          </w:rPr>
          <w:t>https://www.amaroqminerals.com/</w:t>
        </w:r>
      </w:hyperlink>
      <w:r>
        <w:rPr>
          <w:lang w:val="en-US"/>
        </w:rPr>
        <w:t xml:space="preserve"> </w:t>
      </w:r>
      <w:r w:rsidRPr="00510E97">
        <w:rPr>
          <w:lang w:val="en-US"/>
        </w:rPr>
        <w:t xml:space="preserve">and on SEDAR+ at </w:t>
      </w:r>
      <w:hyperlink r:id="rId17" w:history="1">
        <w:r w:rsidRPr="00F317CC">
          <w:rPr>
            <w:rStyle w:val="Hyperlink"/>
            <w:lang w:val="en-US"/>
          </w:rPr>
          <w:t>www.sedarplus.ca</w:t>
        </w:r>
      </w:hyperlink>
      <w:r w:rsidRPr="00510E97">
        <w:rPr>
          <w:lang w:val="en-US"/>
        </w:rPr>
        <w:t>.</w:t>
      </w:r>
    </w:p>
    <w:p w14:paraId="72DE2A6E" w14:textId="77777777" w:rsidR="009633AC" w:rsidRPr="00961BF7" w:rsidRDefault="009633AC" w:rsidP="009633AC">
      <w:pPr>
        <w:pStyle w:val="ProspectusL1"/>
        <w:spacing w:after="120"/>
      </w:pPr>
      <w:bookmarkStart w:id="7" w:name="_Toc161911182"/>
      <w:r w:rsidRPr="00961BF7">
        <w:t>TECHNICAL INFORMATION</w:t>
      </w:r>
      <w:bookmarkEnd w:id="7"/>
    </w:p>
    <w:p w14:paraId="500EB59F" w14:textId="77777777" w:rsidR="009633AC" w:rsidRDefault="009633AC" w:rsidP="009633AC">
      <w:pPr>
        <w:pStyle w:val="ProspectusCont1"/>
        <w:rPr>
          <w:lang w:val="en-US"/>
        </w:rPr>
      </w:pPr>
      <w:r w:rsidRPr="00961BF7">
        <w:rPr>
          <w:lang w:val="en-US"/>
        </w:rPr>
        <w:t>Except where otherwise indicated, the disclosure contained in this AIF that is of a scientific or technical</w:t>
      </w:r>
      <w:r>
        <w:rPr>
          <w:lang w:val="en-US"/>
        </w:rPr>
        <w:t xml:space="preserve"> </w:t>
      </w:r>
      <w:r w:rsidRPr="00961BF7">
        <w:rPr>
          <w:lang w:val="en-US"/>
        </w:rPr>
        <w:t>nature with respect to the Corporation's mineral properties is supported by and in certain cases summarized</w:t>
      </w:r>
      <w:r>
        <w:rPr>
          <w:lang w:val="en-US"/>
        </w:rPr>
        <w:t xml:space="preserve"> </w:t>
      </w:r>
      <w:r w:rsidRPr="00961BF7">
        <w:rPr>
          <w:lang w:val="en-US"/>
        </w:rPr>
        <w:t>from, as applicable:</w:t>
      </w:r>
    </w:p>
    <w:p w14:paraId="5F5A71BF" w14:textId="77777777" w:rsidR="009633AC" w:rsidRPr="00BC79E0" w:rsidRDefault="009633AC" w:rsidP="009633AC">
      <w:pPr>
        <w:pStyle w:val="ProspectusL8"/>
      </w:pPr>
      <w:r w:rsidRPr="00961BF7">
        <w:rPr>
          <w:u w:val="single"/>
        </w:rPr>
        <w:lastRenderedPageBreak/>
        <w:t>Nalunaq Project</w:t>
      </w:r>
      <w:r>
        <w:t>: the technical report titled "</w:t>
      </w:r>
      <w:r w:rsidRPr="00961BF7">
        <w:t>Technical Report on the Mineral Resources of the Nalunaq Project, Greenland" dated October 15, 2022</w:t>
      </w:r>
      <w:r>
        <w:t>,</w:t>
      </w:r>
      <w:r w:rsidRPr="00961BF7">
        <w:t xml:space="preserve"> with an effective date of September 3, 2022</w:t>
      </w:r>
      <w:r>
        <w:t xml:space="preserve">, prepared by </w:t>
      </w:r>
      <w:r w:rsidRPr="00961BF7">
        <w:t xml:space="preserve">Dr Lucy Roberts, </w:t>
      </w:r>
      <w:r w:rsidRPr="00BC79E0">
        <w:t>MAusIMM(CP) of SRK Consulting (UK) Limited (the "</w:t>
      </w:r>
      <w:r w:rsidRPr="00F12F59">
        <w:rPr>
          <w:b/>
          <w:bCs/>
        </w:rPr>
        <w:t>Nalunaq Report</w:t>
      </w:r>
      <w:r w:rsidRPr="00BC79E0">
        <w:t>"). Dr Lucy Roberts has reviewed the scientific and technical information that is supported by or summarized from the Nalunaq Report in the form and context in which it appears, confirms that such information is based on and fairly represents the Nalunaq Report, and consents to its inclusion in this AIF.</w:t>
      </w:r>
    </w:p>
    <w:p w14:paraId="2BCA9630" w14:textId="77777777" w:rsidR="009633AC" w:rsidRPr="00BC79E0" w:rsidRDefault="009633AC" w:rsidP="009633AC">
      <w:pPr>
        <w:pStyle w:val="ProspectusL8"/>
      </w:pPr>
      <w:r w:rsidRPr="00BC79E0">
        <w:rPr>
          <w:u w:val="single"/>
        </w:rPr>
        <w:t>Tartoq Project</w:t>
      </w:r>
      <w:r w:rsidRPr="00BC79E0">
        <w:t>: the technical report titled "An Independent Technical Report on the Tartoq Project, South Greenland" dated March 20, 2017, with an effective date of January 30, 2017, prepared under the supervision of James Glibertson, CGeol (Chartered Geologist, Geological Society of London) of SRK Explortation Services Ltd (the "</w:t>
      </w:r>
      <w:r w:rsidRPr="00F12F59">
        <w:rPr>
          <w:b/>
          <w:bCs/>
        </w:rPr>
        <w:t>Tartoq Report</w:t>
      </w:r>
      <w:r w:rsidRPr="00BC79E0">
        <w:t>"). James Glibertson has reviewed the scientific and technical information that is supported by or summarized from the Tartoq Report in the form and context in which it appears, confirms that such information is based on and fairly represents the Tartoq Report, and consents to its inclusion in this AIF.</w:t>
      </w:r>
    </w:p>
    <w:p w14:paraId="15F07533" w14:textId="77777777" w:rsidR="009633AC" w:rsidRDefault="009633AC" w:rsidP="009633AC">
      <w:pPr>
        <w:pStyle w:val="ProspectusCont1"/>
      </w:pPr>
      <w:r w:rsidRPr="00961BF7">
        <w:t>The technical reports referred to above are subject to certain assumptions, qualifications and procedures</w:t>
      </w:r>
      <w:r>
        <w:t xml:space="preserve"> </w:t>
      </w:r>
      <w:r w:rsidRPr="00961BF7">
        <w:t>described therein. Reference should be made to the full text of the technical reports, which have been filed</w:t>
      </w:r>
      <w:r>
        <w:t xml:space="preserve"> </w:t>
      </w:r>
      <w:r w:rsidRPr="00961BF7">
        <w:t xml:space="preserve">with securities regulatory authorities pursuant to National Instrument 43-101 – </w:t>
      </w:r>
      <w:r w:rsidRPr="00A66977">
        <w:rPr>
          <w:i/>
          <w:iCs/>
        </w:rPr>
        <w:t>Standards of Disclosure for Mineral Projects</w:t>
      </w:r>
      <w:r w:rsidRPr="00961BF7">
        <w:t xml:space="preserve"> of the Canadian Securities Administrators ("</w:t>
      </w:r>
      <w:r w:rsidRPr="00A66977">
        <w:rPr>
          <w:b/>
          <w:bCs/>
        </w:rPr>
        <w:t>NI 43-101</w:t>
      </w:r>
      <w:r w:rsidRPr="00961BF7">
        <w:t>") and are available for review under</w:t>
      </w:r>
      <w:r>
        <w:t xml:space="preserve"> </w:t>
      </w:r>
      <w:r w:rsidRPr="00961BF7">
        <w:t>the Corporation's profile on SEDAR</w:t>
      </w:r>
      <w:r>
        <w:t>+</w:t>
      </w:r>
      <w:r w:rsidRPr="00961BF7">
        <w:t xml:space="preserve"> at </w:t>
      </w:r>
      <w:hyperlink r:id="rId18" w:history="1">
        <w:r w:rsidRPr="00F317CC">
          <w:rPr>
            <w:rStyle w:val="Hyperlink"/>
          </w:rPr>
          <w:t>www.sedarplus.ca</w:t>
        </w:r>
      </w:hyperlink>
      <w:r w:rsidRPr="00961BF7">
        <w:t xml:space="preserve">. </w:t>
      </w:r>
    </w:p>
    <w:p w14:paraId="44CCDD20" w14:textId="77777777" w:rsidR="009633AC" w:rsidRDefault="009633AC" w:rsidP="009633AC">
      <w:pPr>
        <w:pStyle w:val="ProspectusCont1"/>
        <w:rPr>
          <w:lang w:val="en-US"/>
        </w:rPr>
      </w:pPr>
      <w:r w:rsidRPr="00961BF7">
        <w:rPr>
          <w:lang w:val="en-US"/>
        </w:rPr>
        <w:t>Where appropriate, certain information contained in this AIF provides non-material updates or expansions</w:t>
      </w:r>
      <w:r>
        <w:rPr>
          <w:lang w:val="en-US"/>
        </w:rPr>
        <w:t xml:space="preserve"> </w:t>
      </w:r>
      <w:r w:rsidRPr="00961BF7">
        <w:rPr>
          <w:lang w:val="en-US"/>
        </w:rPr>
        <w:t>upon the information contained in such technical reports. Any updates or expansions upon the scientific or</w:t>
      </w:r>
      <w:r>
        <w:rPr>
          <w:lang w:val="en-US"/>
        </w:rPr>
        <w:t xml:space="preserve"> </w:t>
      </w:r>
      <w:r w:rsidRPr="00961BF7">
        <w:rPr>
          <w:lang w:val="en-US"/>
        </w:rPr>
        <w:t>technical information contained in such technical reports and any other scientific or technical information</w:t>
      </w:r>
      <w:r>
        <w:rPr>
          <w:lang w:val="en-US"/>
        </w:rPr>
        <w:t xml:space="preserve"> </w:t>
      </w:r>
      <w:r w:rsidRPr="00961BF7">
        <w:rPr>
          <w:lang w:val="en-US"/>
        </w:rPr>
        <w:t>contained in this AIF was prepared by or under the supervision of</w:t>
      </w:r>
      <w:r>
        <w:rPr>
          <w:lang w:val="en-US"/>
        </w:rPr>
        <w:t xml:space="preserve"> </w:t>
      </w:r>
      <w:r w:rsidRPr="00660B93">
        <w:rPr>
          <w:lang w:val="en-US"/>
        </w:rPr>
        <w:t>James Gilbertson</w:t>
      </w:r>
      <w:r w:rsidRPr="00961BF7">
        <w:rPr>
          <w:lang w:val="en-US"/>
        </w:rPr>
        <w:t xml:space="preserve">. </w:t>
      </w:r>
      <w:r w:rsidRPr="00660B93">
        <w:rPr>
          <w:lang w:val="en-US"/>
        </w:rPr>
        <w:t>James Gilbertson</w:t>
      </w:r>
      <w:r w:rsidRPr="00961BF7">
        <w:rPr>
          <w:lang w:val="en-US"/>
        </w:rPr>
        <w:t xml:space="preserve"> is the </w:t>
      </w:r>
      <w:r>
        <w:rPr>
          <w:lang w:val="en-US"/>
        </w:rPr>
        <w:t xml:space="preserve">VP Exploration </w:t>
      </w:r>
      <w:r w:rsidRPr="00961BF7">
        <w:rPr>
          <w:lang w:val="en-US"/>
        </w:rPr>
        <w:t xml:space="preserve">of </w:t>
      </w:r>
      <w:r w:rsidRPr="00BC79E0">
        <w:rPr>
          <w:lang w:val="en-US"/>
        </w:rPr>
        <w:t>the Corporation and a "qualified person" for the purposes of NI 43-101.</w:t>
      </w:r>
    </w:p>
    <w:p w14:paraId="024BE5ED" w14:textId="77777777" w:rsidR="009633AC" w:rsidRPr="000E16C7" w:rsidRDefault="009633AC" w:rsidP="009633AC">
      <w:pPr>
        <w:pStyle w:val="ProspectusCont1"/>
        <w:rPr>
          <w:lang w:val="en-GB"/>
        </w:rPr>
      </w:pPr>
      <w:r w:rsidRPr="00961BF7">
        <w:rPr>
          <w:lang w:val="en-US"/>
        </w:rPr>
        <w:t>The mineral resources for the Corporation's properties (including as used in the technical reports) have been</w:t>
      </w:r>
      <w:r>
        <w:rPr>
          <w:lang w:val="en-US"/>
        </w:rPr>
        <w:t xml:space="preserve"> </w:t>
      </w:r>
      <w:r w:rsidRPr="00961BF7">
        <w:rPr>
          <w:lang w:val="en-US"/>
        </w:rPr>
        <w:t>estimated in accordance with NI 43-101, which incorporates by reference the definitions and categories of</w:t>
      </w:r>
      <w:r>
        <w:rPr>
          <w:lang w:val="en-US"/>
        </w:rPr>
        <w:t xml:space="preserve"> </w:t>
      </w:r>
      <w:r w:rsidRPr="00961BF7">
        <w:rPr>
          <w:lang w:val="en-US"/>
        </w:rPr>
        <w:t>mineral resources and mineral reserves set out by the Canadian Institute of Mining, Metallurgy and</w:t>
      </w:r>
      <w:r>
        <w:rPr>
          <w:lang w:val="en-US"/>
        </w:rPr>
        <w:t xml:space="preserve"> </w:t>
      </w:r>
      <w:r w:rsidRPr="00961BF7">
        <w:rPr>
          <w:lang w:val="en-US"/>
        </w:rPr>
        <w:t>Petroleum ("</w:t>
      </w:r>
      <w:r w:rsidRPr="00A66977">
        <w:rPr>
          <w:b/>
          <w:bCs/>
          <w:lang w:val="en-US"/>
        </w:rPr>
        <w:t>CIM</w:t>
      </w:r>
      <w:r w:rsidRPr="00961BF7">
        <w:rPr>
          <w:lang w:val="en-US"/>
        </w:rPr>
        <w:t>") in the CIM Definition Standards on Mineral Resources and Mineral Reserves adopted by</w:t>
      </w:r>
      <w:r>
        <w:rPr>
          <w:lang w:val="en-US"/>
        </w:rPr>
        <w:t xml:space="preserve"> </w:t>
      </w:r>
      <w:r w:rsidRPr="00961BF7">
        <w:rPr>
          <w:lang w:val="en-US"/>
        </w:rPr>
        <w:t>the CIM Council on May 10, 2014</w:t>
      </w:r>
      <w:r w:rsidRPr="000E16C7">
        <w:rPr>
          <w:lang w:val="en-GB"/>
        </w:rPr>
        <w:t>.</w:t>
      </w:r>
    </w:p>
    <w:p w14:paraId="34C06BA5" w14:textId="77777777" w:rsidR="009633AC" w:rsidRPr="00124878" w:rsidRDefault="009633AC" w:rsidP="009633AC">
      <w:pPr>
        <w:pStyle w:val="ProspectusL1"/>
        <w:spacing w:after="120"/>
      </w:pPr>
      <w:bookmarkStart w:id="8" w:name="_Toc42803788"/>
      <w:bookmarkStart w:id="9" w:name="_Toc57649485"/>
      <w:bookmarkStart w:id="10" w:name="_Toc161911183"/>
      <w:r w:rsidRPr="00124878">
        <w:t>CORPORATE STRUCTURE</w:t>
      </w:r>
      <w:bookmarkEnd w:id="8"/>
      <w:bookmarkEnd w:id="9"/>
      <w:bookmarkEnd w:id="10"/>
    </w:p>
    <w:p w14:paraId="54EE7BC6" w14:textId="77777777" w:rsidR="009633AC" w:rsidRPr="00124878" w:rsidRDefault="009633AC" w:rsidP="009633AC">
      <w:pPr>
        <w:pStyle w:val="ProspectusL2"/>
        <w:spacing w:after="120"/>
      </w:pPr>
      <w:r w:rsidRPr="00124878">
        <w:t>Name, Address and Incorporation</w:t>
      </w:r>
    </w:p>
    <w:p w14:paraId="5C0F3BD0" w14:textId="77777777" w:rsidR="009633AC" w:rsidRDefault="009633AC" w:rsidP="009633AC">
      <w:pPr>
        <w:pStyle w:val="ProspectusCont2"/>
        <w:rPr>
          <w:lang w:val="en-US"/>
        </w:rPr>
      </w:pPr>
      <w:r w:rsidRPr="00A52F2C">
        <w:rPr>
          <w:rFonts w:eastAsiaTheme="minorHAnsi"/>
          <w:color w:val="000000"/>
          <w:lang w:val="en-US"/>
        </w:rPr>
        <w:t>The Corporation</w:t>
      </w:r>
      <w:r w:rsidRPr="00510E97">
        <w:rPr>
          <w:lang w:val="en-US"/>
        </w:rPr>
        <w:t xml:space="preserve"> was incorporated on February 22, 2017 under the </w:t>
      </w:r>
      <w:r w:rsidRPr="00510E97">
        <w:rPr>
          <w:i/>
          <w:lang w:val="en-US"/>
        </w:rPr>
        <w:t>Canada Business Corporations Act</w:t>
      </w:r>
      <w:r w:rsidRPr="00510E97">
        <w:rPr>
          <w:lang w:val="en-US"/>
        </w:rPr>
        <w:t xml:space="preserve"> </w:t>
      </w:r>
      <w:r>
        <w:rPr>
          <w:lang w:val="en-US"/>
        </w:rPr>
        <w:t>("</w:t>
      </w:r>
      <w:r w:rsidRPr="001727FB">
        <w:rPr>
          <w:b/>
          <w:bCs/>
          <w:lang w:val="en-US"/>
        </w:rPr>
        <w:t>CBCA</w:t>
      </w:r>
      <w:r>
        <w:rPr>
          <w:lang w:val="en-US"/>
        </w:rPr>
        <w:t xml:space="preserve">") </w:t>
      </w:r>
      <w:r w:rsidRPr="00510E97">
        <w:rPr>
          <w:lang w:val="en-US"/>
        </w:rPr>
        <w:t>under the corporate name "Alopex Gold Inc.", amended its name to "AEX Gold Inc." on June 6, 2018 and subsequent</w:t>
      </w:r>
      <w:r>
        <w:rPr>
          <w:lang w:val="en-US"/>
        </w:rPr>
        <w:t>ly</w:t>
      </w:r>
      <w:r w:rsidRPr="00510E97">
        <w:rPr>
          <w:lang w:val="en-US"/>
        </w:rPr>
        <w:t xml:space="preserve"> amended its name to "Amaroq Minerals Ltd." on July 11, 2022. </w:t>
      </w:r>
      <w:r>
        <w:rPr>
          <w:lang w:val="en-US"/>
        </w:rPr>
        <w:t>On June 27, 20</w:t>
      </w:r>
      <w:r w:rsidRPr="004B035B">
        <w:rPr>
          <w:lang w:val="en-GB"/>
        </w:rPr>
        <w:t>1</w:t>
      </w:r>
      <w:r>
        <w:rPr>
          <w:lang w:val="en-US"/>
        </w:rPr>
        <w:t xml:space="preserve">7, the Corporation amended its articles to remove the restrictions on the transfer of securities. </w:t>
      </w:r>
      <w:r w:rsidRPr="00510E97">
        <w:rPr>
          <w:lang w:val="en-US"/>
        </w:rPr>
        <w:t>The Corporation's head and registered office is situated at 3400, One First Canadian Place, P.O. Box 130, Toronto, Ontario, M5X 1A4, Canada. The Corporation operates in one industry segment, being the identification, acquisition, exploration and development of gold properties in Greenland. Since July 13, 2017, the Corporation's common shares have been listed on the TSX Venture Exchange (the "</w:t>
      </w:r>
      <w:r w:rsidRPr="00510E97">
        <w:rPr>
          <w:b/>
          <w:bCs/>
          <w:lang w:val="en-US"/>
        </w:rPr>
        <w:t>TSX-V Exchange</w:t>
      </w:r>
      <w:r w:rsidRPr="00510E97">
        <w:rPr>
          <w:lang w:val="en-US"/>
        </w:rPr>
        <w:t>") under the ticker "</w:t>
      </w:r>
      <w:r>
        <w:rPr>
          <w:lang w:val="en-US"/>
        </w:rPr>
        <w:t>AMRQ</w:t>
      </w:r>
      <w:r w:rsidRPr="00510E97">
        <w:rPr>
          <w:lang w:val="en-US"/>
        </w:rPr>
        <w:t>".</w:t>
      </w:r>
    </w:p>
    <w:p w14:paraId="4F766F15" w14:textId="77777777" w:rsidR="009633AC" w:rsidRDefault="009633AC" w:rsidP="009633AC">
      <w:pPr>
        <w:pStyle w:val="ProspectusCont2"/>
        <w:rPr>
          <w:lang w:val="en-US"/>
        </w:rPr>
      </w:pPr>
      <w:r>
        <w:rPr>
          <w:lang w:val="en-US"/>
        </w:rPr>
        <w:t>C</w:t>
      </w:r>
      <w:r w:rsidRPr="00510E97">
        <w:rPr>
          <w:lang w:val="en-US"/>
        </w:rPr>
        <w:t xml:space="preserve">ommon shares trading </w:t>
      </w:r>
      <w:r w:rsidRPr="00150250">
        <w:rPr>
          <w:lang w:val="en-US"/>
        </w:rPr>
        <w:t xml:space="preserve">on the TSX-V </w:t>
      </w:r>
      <w:r w:rsidRPr="00150250">
        <w:rPr>
          <w:bCs/>
          <w:lang w:val="en-US"/>
        </w:rPr>
        <w:t>Exchange</w:t>
      </w:r>
      <w:r>
        <w:rPr>
          <w:bCs/>
          <w:lang w:val="en-US"/>
        </w:rPr>
        <w:t xml:space="preserve">, </w:t>
      </w:r>
      <w:r w:rsidRPr="002052FF">
        <w:rPr>
          <w:bCs/>
          <w:lang w:val="en-US"/>
        </w:rPr>
        <w:t>AIM Market of the London Stock Exchange</w:t>
      </w:r>
      <w:r>
        <w:rPr>
          <w:bCs/>
          <w:lang w:val="en-US"/>
        </w:rPr>
        <w:t xml:space="preserve"> and NASDAQ Iceland's main market under</w:t>
      </w:r>
      <w:r w:rsidRPr="00150250">
        <w:rPr>
          <w:lang w:val="en-US"/>
        </w:rPr>
        <w:t xml:space="preserve"> the ticker "</w:t>
      </w:r>
      <w:r>
        <w:rPr>
          <w:lang w:val="en-US"/>
        </w:rPr>
        <w:t>AMRQ</w:t>
      </w:r>
      <w:r w:rsidRPr="00150250">
        <w:rPr>
          <w:lang w:val="en-US"/>
        </w:rPr>
        <w:t>"</w:t>
      </w:r>
      <w:r w:rsidRPr="00510E97">
        <w:rPr>
          <w:lang w:val="en-US"/>
        </w:rPr>
        <w:t xml:space="preserve"> are referred to below as the "</w:t>
      </w:r>
      <w:r w:rsidRPr="00510E97">
        <w:rPr>
          <w:b/>
          <w:bCs/>
          <w:lang w:val="en-US"/>
        </w:rPr>
        <w:t>Common Shares</w:t>
      </w:r>
      <w:r w:rsidRPr="00510E97">
        <w:rPr>
          <w:lang w:val="en-US"/>
        </w:rPr>
        <w:t xml:space="preserve">". </w:t>
      </w:r>
    </w:p>
    <w:p w14:paraId="0D904E46" w14:textId="77777777" w:rsidR="009633AC" w:rsidRPr="00124878" w:rsidRDefault="009633AC" w:rsidP="009633AC">
      <w:pPr>
        <w:pStyle w:val="ProspectusL2"/>
        <w:spacing w:after="120"/>
      </w:pPr>
      <w:r w:rsidRPr="00124878">
        <w:t>Intercorporate Relationships</w:t>
      </w:r>
    </w:p>
    <w:p w14:paraId="74179E81" w14:textId="77777777" w:rsidR="009633AC" w:rsidRPr="00510E97" w:rsidRDefault="009633AC" w:rsidP="009633AC">
      <w:pPr>
        <w:pStyle w:val="ProspectusCont2"/>
        <w:rPr>
          <w:lang w:val="en-US"/>
        </w:rPr>
      </w:pPr>
      <w:r w:rsidRPr="00124878">
        <w:rPr>
          <w:noProof/>
          <w:lang w:eastAsia="en-CA"/>
        </w:rPr>
        <w:drawing>
          <wp:anchor distT="0" distB="0" distL="114300" distR="114300" simplePos="0" relativeHeight="251659264" behindDoc="1" locked="0" layoutInCell="1" allowOverlap="1" wp14:anchorId="7706FA8F" wp14:editId="61C727F3">
            <wp:simplePos x="0" y="0"/>
            <wp:positionH relativeFrom="page">
              <wp:posOffset>2980690</wp:posOffset>
            </wp:positionH>
            <wp:positionV relativeFrom="paragraph">
              <wp:posOffset>512445</wp:posOffset>
            </wp:positionV>
            <wp:extent cx="1517015" cy="3079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7015" cy="307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0E97">
        <w:rPr>
          <w:lang w:val="en-US"/>
        </w:rPr>
        <w:t>The</w:t>
      </w:r>
      <w:r w:rsidRPr="00510E97">
        <w:rPr>
          <w:spacing w:val="12"/>
          <w:lang w:val="en-US"/>
        </w:rPr>
        <w:t xml:space="preserve"> </w:t>
      </w:r>
      <w:r w:rsidRPr="00510E97">
        <w:rPr>
          <w:spacing w:val="-2"/>
          <w:lang w:val="en-US"/>
        </w:rPr>
        <w:t>following</w:t>
      </w:r>
      <w:r w:rsidRPr="00510E97">
        <w:rPr>
          <w:spacing w:val="12"/>
          <w:lang w:val="en-US"/>
        </w:rPr>
        <w:t xml:space="preserve"> </w:t>
      </w:r>
      <w:r w:rsidRPr="00510E97">
        <w:rPr>
          <w:lang w:val="en-US"/>
        </w:rPr>
        <w:t>diagram</w:t>
      </w:r>
      <w:r w:rsidRPr="00510E97">
        <w:rPr>
          <w:spacing w:val="8"/>
          <w:lang w:val="en-US"/>
        </w:rPr>
        <w:t xml:space="preserve"> </w:t>
      </w:r>
      <w:r w:rsidRPr="00510E97">
        <w:rPr>
          <w:lang w:val="en-US"/>
        </w:rPr>
        <w:t>illustrates</w:t>
      </w:r>
      <w:r w:rsidRPr="00510E97">
        <w:rPr>
          <w:spacing w:val="11"/>
          <w:lang w:val="en-US"/>
        </w:rPr>
        <w:t xml:space="preserve"> </w:t>
      </w:r>
      <w:r w:rsidRPr="00510E97">
        <w:rPr>
          <w:lang w:val="en-US"/>
        </w:rPr>
        <w:t>the</w:t>
      </w:r>
      <w:r w:rsidRPr="00510E97">
        <w:rPr>
          <w:spacing w:val="11"/>
          <w:lang w:val="en-US"/>
        </w:rPr>
        <w:t xml:space="preserve"> </w:t>
      </w:r>
      <w:r w:rsidRPr="00510E97">
        <w:rPr>
          <w:lang w:val="en-US"/>
        </w:rPr>
        <w:t>intercorporate</w:t>
      </w:r>
      <w:r w:rsidRPr="00510E97">
        <w:rPr>
          <w:spacing w:val="9"/>
          <w:lang w:val="en-US"/>
        </w:rPr>
        <w:t xml:space="preserve"> </w:t>
      </w:r>
      <w:r w:rsidRPr="00510E97">
        <w:rPr>
          <w:lang w:val="en-US"/>
        </w:rPr>
        <w:t>relationship</w:t>
      </w:r>
      <w:r w:rsidRPr="00510E97">
        <w:rPr>
          <w:spacing w:val="12"/>
          <w:lang w:val="en-US"/>
        </w:rPr>
        <w:t xml:space="preserve"> </w:t>
      </w:r>
      <w:r w:rsidRPr="00510E97">
        <w:rPr>
          <w:lang w:val="en-US"/>
        </w:rPr>
        <w:t>between</w:t>
      </w:r>
      <w:r w:rsidRPr="00510E97">
        <w:rPr>
          <w:spacing w:val="12"/>
          <w:lang w:val="en-US"/>
        </w:rPr>
        <w:t xml:space="preserve"> </w:t>
      </w:r>
      <w:r w:rsidRPr="00510E97">
        <w:rPr>
          <w:lang w:val="en-US"/>
        </w:rPr>
        <w:t>the</w:t>
      </w:r>
      <w:r w:rsidRPr="00510E97">
        <w:rPr>
          <w:spacing w:val="9"/>
          <w:lang w:val="en-US"/>
        </w:rPr>
        <w:t xml:space="preserve"> </w:t>
      </w:r>
      <w:r w:rsidRPr="00510E97">
        <w:rPr>
          <w:lang w:val="en-US"/>
        </w:rPr>
        <w:t>Corporation</w:t>
      </w:r>
      <w:r w:rsidRPr="00510E97">
        <w:rPr>
          <w:spacing w:val="12"/>
          <w:lang w:val="en-US"/>
        </w:rPr>
        <w:t xml:space="preserve"> </w:t>
      </w:r>
      <w:r w:rsidRPr="00510E97">
        <w:rPr>
          <w:lang w:val="en-US"/>
        </w:rPr>
        <w:t>and</w:t>
      </w:r>
      <w:r w:rsidRPr="00510E97">
        <w:rPr>
          <w:spacing w:val="7"/>
          <w:lang w:val="en-US"/>
        </w:rPr>
        <w:t xml:space="preserve"> its subsidiar</w:t>
      </w:r>
      <w:r>
        <w:rPr>
          <w:spacing w:val="7"/>
          <w:lang w:val="en-US"/>
        </w:rPr>
        <w:t xml:space="preserve">ies </w:t>
      </w:r>
      <w:r w:rsidRPr="00510E97">
        <w:rPr>
          <w:lang w:val="en-US"/>
        </w:rPr>
        <w:t>incorporated under the laws of Greenland.</w:t>
      </w:r>
    </w:p>
    <w:p w14:paraId="4928BB37" w14:textId="77777777" w:rsidR="009633AC" w:rsidRDefault="009633AC" w:rsidP="009633AC">
      <w:pPr>
        <w:pStyle w:val="BodyText"/>
        <w:spacing w:before="240"/>
        <w:jc w:val="center"/>
        <w:rPr>
          <w:lang w:val="en-US"/>
        </w:rPr>
      </w:pPr>
      <w:r>
        <w:rPr>
          <w:noProof/>
        </w:rPr>
        <w:lastRenderedPageBreak/>
        <w:drawing>
          <wp:inline distT="0" distB="0" distL="0" distR="0" wp14:anchorId="3054739D" wp14:editId="32E41BD0">
            <wp:extent cx="3406588" cy="1914386"/>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company&#10;&#10;Description automatically generated"/>
                    <pic:cNvPicPr/>
                  </pic:nvPicPr>
                  <pic:blipFill>
                    <a:blip r:embed="rId20"/>
                    <a:stretch>
                      <a:fillRect/>
                    </a:stretch>
                  </pic:blipFill>
                  <pic:spPr>
                    <a:xfrm>
                      <a:off x="0" y="0"/>
                      <a:ext cx="3412255" cy="1917571"/>
                    </a:xfrm>
                    <a:prstGeom prst="rect">
                      <a:avLst/>
                    </a:prstGeom>
                  </pic:spPr>
                </pic:pic>
              </a:graphicData>
            </a:graphic>
          </wp:inline>
        </w:drawing>
      </w:r>
    </w:p>
    <w:p w14:paraId="3AA30CAA" w14:textId="77777777" w:rsidR="009633AC" w:rsidRPr="001A139F" w:rsidRDefault="009633AC" w:rsidP="009633AC">
      <w:pPr>
        <w:pStyle w:val="TblTxt-Notes-TitleTxt-LB"/>
      </w:pPr>
      <w:r w:rsidRPr="001A139F">
        <w:t>Notes:</w:t>
      </w:r>
    </w:p>
    <w:p w14:paraId="1C29ADE0" w14:textId="77777777" w:rsidR="009633AC" w:rsidRPr="001A139F" w:rsidRDefault="009633AC" w:rsidP="009633AC">
      <w:pPr>
        <w:pStyle w:val="TblTxt-Notes-NumberedTxt"/>
      </w:pPr>
      <w:r>
        <w:t>(1)</w:t>
      </w:r>
      <w:r>
        <w:tab/>
      </w:r>
      <w:r w:rsidRPr="001A139F">
        <w:t>GCAM LP holds a 49% interest in Gardaq A/S</w:t>
      </w:r>
      <w:r>
        <w:t>.</w:t>
      </w:r>
    </w:p>
    <w:p w14:paraId="0600353B" w14:textId="77777777" w:rsidR="009633AC" w:rsidRPr="00510E97" w:rsidRDefault="009633AC" w:rsidP="009633AC">
      <w:pPr>
        <w:pStyle w:val="ProspectusCont2"/>
      </w:pPr>
      <w:r w:rsidRPr="00124878">
        <w:rPr>
          <w:noProof/>
          <w:lang w:eastAsia="en-CA"/>
        </w:rPr>
        <w:drawing>
          <wp:anchor distT="0" distB="0" distL="114300" distR="114300" simplePos="0" relativeHeight="251660288" behindDoc="1" locked="0" layoutInCell="1" allowOverlap="1" wp14:anchorId="740BC2DE" wp14:editId="023FA35B">
            <wp:simplePos x="0" y="0"/>
            <wp:positionH relativeFrom="page">
              <wp:posOffset>3692525</wp:posOffset>
            </wp:positionH>
            <wp:positionV relativeFrom="paragraph">
              <wp:posOffset>-696595</wp:posOffset>
            </wp:positionV>
            <wp:extent cx="592455" cy="116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2455" cy="116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0E97">
        <w:t>The words "</w:t>
      </w:r>
      <w:r w:rsidRPr="00510E97">
        <w:rPr>
          <w:b/>
          <w:bCs/>
        </w:rPr>
        <w:t>Amaroq</w:t>
      </w:r>
      <w:r w:rsidRPr="00510E97">
        <w:t>" and "</w:t>
      </w:r>
      <w:r w:rsidRPr="00510E97">
        <w:rPr>
          <w:b/>
          <w:bCs/>
        </w:rPr>
        <w:t>Corporation</w:t>
      </w:r>
      <w:r w:rsidRPr="00510E97">
        <w:t>" are</w:t>
      </w:r>
      <w:r w:rsidRPr="00510E97">
        <w:rPr>
          <w:spacing w:val="16"/>
        </w:rPr>
        <w:t xml:space="preserve"> </w:t>
      </w:r>
      <w:r w:rsidRPr="00510E97">
        <w:t>used</w:t>
      </w:r>
      <w:r w:rsidRPr="00510E97">
        <w:rPr>
          <w:spacing w:val="18"/>
        </w:rPr>
        <w:t xml:space="preserve"> </w:t>
      </w:r>
      <w:r w:rsidRPr="00510E97">
        <w:t>interchangeably</w:t>
      </w:r>
      <w:r w:rsidRPr="00510E97">
        <w:rPr>
          <w:spacing w:val="14"/>
        </w:rPr>
        <w:t xml:space="preserve"> </w:t>
      </w:r>
      <w:r w:rsidRPr="00510E97">
        <w:t>throughout</w:t>
      </w:r>
      <w:r w:rsidRPr="00510E97">
        <w:rPr>
          <w:spacing w:val="15"/>
        </w:rPr>
        <w:t xml:space="preserve"> </w:t>
      </w:r>
      <w:r w:rsidRPr="00510E97">
        <w:t>this AIF</w:t>
      </w:r>
      <w:r w:rsidRPr="00510E97">
        <w:rPr>
          <w:spacing w:val="16"/>
        </w:rPr>
        <w:t xml:space="preserve"> </w:t>
      </w:r>
      <w:r w:rsidRPr="00510E97">
        <w:t>and</w:t>
      </w:r>
      <w:r w:rsidRPr="00510E97">
        <w:rPr>
          <w:spacing w:val="16"/>
        </w:rPr>
        <w:t xml:space="preserve"> </w:t>
      </w:r>
      <w:r w:rsidRPr="00510E97">
        <w:t>in</w:t>
      </w:r>
      <w:r w:rsidRPr="00510E97">
        <w:rPr>
          <w:spacing w:val="17"/>
        </w:rPr>
        <w:t xml:space="preserve"> </w:t>
      </w:r>
      <w:r w:rsidRPr="00510E97">
        <w:t>each</w:t>
      </w:r>
      <w:r w:rsidRPr="00510E97">
        <w:rPr>
          <w:spacing w:val="67"/>
        </w:rPr>
        <w:t xml:space="preserve"> </w:t>
      </w:r>
      <w:r w:rsidRPr="00510E97">
        <w:t xml:space="preserve">case refer, as the context </w:t>
      </w:r>
      <w:r w:rsidRPr="00510E97">
        <w:rPr>
          <w:spacing w:val="-2"/>
        </w:rPr>
        <w:t>may</w:t>
      </w:r>
      <w:r w:rsidRPr="00510E97">
        <w:rPr>
          <w:spacing w:val="-3"/>
        </w:rPr>
        <w:t xml:space="preserve"> </w:t>
      </w:r>
      <w:r w:rsidRPr="00510E97">
        <w:t>require, to all or any</w:t>
      </w:r>
      <w:r w:rsidRPr="00510E97">
        <w:rPr>
          <w:spacing w:val="-5"/>
        </w:rPr>
        <w:t xml:space="preserve"> </w:t>
      </w:r>
      <w:r w:rsidRPr="00510E97">
        <w:t>of the Corporation and Nalunaq A/S.</w:t>
      </w:r>
    </w:p>
    <w:p w14:paraId="5106DD84" w14:textId="77777777" w:rsidR="009633AC" w:rsidRPr="00124878" w:rsidRDefault="009633AC" w:rsidP="009633AC">
      <w:pPr>
        <w:pStyle w:val="ProspectusL1"/>
      </w:pPr>
      <w:bookmarkStart w:id="11" w:name="_Toc42803789"/>
      <w:bookmarkStart w:id="12" w:name="_Toc57649486"/>
      <w:bookmarkStart w:id="13" w:name="_Toc161911184"/>
      <w:r w:rsidRPr="00124878">
        <w:t>GENERAL DEVELOPMENT OF THE BUSINESS</w:t>
      </w:r>
      <w:bookmarkEnd w:id="11"/>
      <w:bookmarkEnd w:id="12"/>
      <w:bookmarkEnd w:id="13"/>
    </w:p>
    <w:p w14:paraId="0F6CFCEE" w14:textId="77777777" w:rsidR="009633AC" w:rsidRPr="00124878" w:rsidRDefault="009633AC" w:rsidP="009633AC">
      <w:pPr>
        <w:pStyle w:val="ProspectusL2"/>
        <w:spacing w:after="120"/>
      </w:pPr>
      <w:r w:rsidRPr="00124878">
        <w:t>Three Year History</w:t>
      </w:r>
    </w:p>
    <w:p w14:paraId="632FE01F" w14:textId="77777777" w:rsidR="009633AC" w:rsidRPr="00320924" w:rsidRDefault="009633AC" w:rsidP="009633AC">
      <w:pPr>
        <w:pStyle w:val="ProspectusL3"/>
      </w:pPr>
      <w:r w:rsidRPr="00320924">
        <w:t>Events Subsequent to 2023</w:t>
      </w:r>
    </w:p>
    <w:p w14:paraId="3EB5DECD" w14:textId="77777777" w:rsidR="009633AC" w:rsidRDefault="009633AC" w:rsidP="009633AC">
      <w:pPr>
        <w:pStyle w:val="ProspectusCont3"/>
        <w:rPr>
          <w:lang w:val="en-US"/>
        </w:rPr>
      </w:pPr>
      <w:r w:rsidRPr="00E43AFB">
        <w:rPr>
          <w:lang w:val="en-US"/>
        </w:rPr>
        <w:t xml:space="preserve">Prior to market open on January 2, 2024, the Corporation's </w:t>
      </w:r>
      <w:r>
        <w:rPr>
          <w:lang w:val="en-US"/>
        </w:rPr>
        <w:t xml:space="preserve">shares </w:t>
      </w:r>
      <w:r w:rsidRPr="00E43AFB">
        <w:rPr>
          <w:lang w:val="en-US"/>
        </w:rPr>
        <w:t>were admitted to the OMX Iceland 15™ Index.</w:t>
      </w:r>
    </w:p>
    <w:p w14:paraId="62313AA2" w14:textId="77777777" w:rsidR="009633AC" w:rsidRDefault="009633AC" w:rsidP="009633AC">
      <w:pPr>
        <w:pStyle w:val="ProspectusCont3"/>
        <w:rPr>
          <w:lang w:val="en-US"/>
        </w:rPr>
      </w:pPr>
      <w:r>
        <w:rPr>
          <w:lang w:val="en-US"/>
        </w:rPr>
        <w:t xml:space="preserve">On January 24, 2024, the Corporation announced the </w:t>
      </w:r>
      <w:r w:rsidRPr="00B73415">
        <w:rPr>
          <w:lang w:val="en-US"/>
        </w:rPr>
        <w:t>provisional results</w:t>
      </w:r>
      <w:r>
        <w:rPr>
          <w:lang w:val="en-US"/>
        </w:rPr>
        <w:t xml:space="preserve"> </w:t>
      </w:r>
      <w:r w:rsidRPr="00B73415">
        <w:rPr>
          <w:lang w:val="en-US"/>
        </w:rPr>
        <w:t xml:space="preserve">from its 2023 exploration programme on the Sava </w:t>
      </w:r>
      <w:r>
        <w:rPr>
          <w:lang w:val="en-US"/>
        </w:rPr>
        <w:t>p</w:t>
      </w:r>
      <w:r w:rsidRPr="00B73415">
        <w:rPr>
          <w:lang w:val="en-US"/>
        </w:rPr>
        <w:t xml:space="preserve">roject </w:t>
      </w:r>
      <w:r>
        <w:rPr>
          <w:lang w:val="en-US"/>
        </w:rPr>
        <w:t xml:space="preserve">from four holes drilled </w:t>
      </w:r>
      <w:r w:rsidRPr="00747F37">
        <w:rPr>
          <w:lang w:val="en-US"/>
        </w:rPr>
        <w:t xml:space="preserve">for 2200m across two targets on the </w:t>
      </w:r>
      <w:r>
        <w:rPr>
          <w:lang w:val="en-US"/>
        </w:rPr>
        <w:t>l</w:t>
      </w:r>
      <w:r w:rsidRPr="00747F37">
        <w:rPr>
          <w:lang w:val="en-US"/>
        </w:rPr>
        <w:t>icence</w:t>
      </w:r>
      <w:r w:rsidRPr="00B73415">
        <w:rPr>
          <w:lang w:val="en-US"/>
        </w:rPr>
        <w:t>.</w:t>
      </w:r>
    </w:p>
    <w:p w14:paraId="15A342BA" w14:textId="77777777" w:rsidR="009633AC" w:rsidRDefault="009633AC" w:rsidP="009633AC">
      <w:pPr>
        <w:pStyle w:val="ProspectusCont3"/>
        <w:rPr>
          <w:lang w:val="en-US"/>
        </w:rPr>
      </w:pPr>
      <w:r>
        <w:rPr>
          <w:lang w:val="en-US"/>
        </w:rPr>
        <w:t xml:space="preserve">On January 26, 2024, the public </w:t>
      </w:r>
      <w:r w:rsidRPr="007C29F8">
        <w:rPr>
          <w:lang w:val="en-US"/>
        </w:rPr>
        <w:t>consultation process for the draft Environmental Impact Assessment and Social Impact</w:t>
      </w:r>
      <w:r>
        <w:rPr>
          <w:lang w:val="en-US"/>
        </w:rPr>
        <w:t xml:space="preserve"> </w:t>
      </w:r>
      <w:r w:rsidRPr="007C29F8">
        <w:rPr>
          <w:lang w:val="en-US"/>
        </w:rPr>
        <w:t xml:space="preserve">Assessment report on the Nalunaq </w:t>
      </w:r>
      <w:r>
        <w:rPr>
          <w:lang w:val="en-US"/>
        </w:rPr>
        <w:t>p</w:t>
      </w:r>
      <w:r w:rsidRPr="007C29F8">
        <w:rPr>
          <w:lang w:val="en-US"/>
        </w:rPr>
        <w:t>ro</w:t>
      </w:r>
      <w:r>
        <w:rPr>
          <w:lang w:val="en-US"/>
        </w:rPr>
        <w:t>perty ("</w:t>
      </w:r>
      <w:r w:rsidRPr="00ED5B46">
        <w:rPr>
          <w:b/>
          <w:bCs/>
          <w:lang w:val="en-US"/>
        </w:rPr>
        <w:t>Nalunaq Property</w:t>
      </w:r>
      <w:r>
        <w:rPr>
          <w:lang w:val="en-US"/>
        </w:rPr>
        <w:t>")</w:t>
      </w:r>
      <w:r w:rsidRPr="007C29F8">
        <w:rPr>
          <w:lang w:val="en-US"/>
        </w:rPr>
        <w:t xml:space="preserve"> commenced</w:t>
      </w:r>
      <w:r>
        <w:rPr>
          <w:lang w:val="en-US"/>
        </w:rPr>
        <w:t>.</w:t>
      </w:r>
    </w:p>
    <w:p w14:paraId="3343A64C" w14:textId="77777777" w:rsidR="009633AC" w:rsidRDefault="009633AC" w:rsidP="009633AC">
      <w:pPr>
        <w:pStyle w:val="ProspectusCont3"/>
        <w:rPr>
          <w:lang w:val="en-US"/>
        </w:rPr>
      </w:pPr>
      <w:r>
        <w:rPr>
          <w:lang w:val="en-US"/>
        </w:rPr>
        <w:t xml:space="preserve">On January 29, 2024, the Corporation announced the exploration results for the Nalunaq Property following its 2023 exploration programme, which results </w:t>
      </w:r>
      <w:r w:rsidRPr="003233FD">
        <w:rPr>
          <w:lang w:val="en-US"/>
        </w:rPr>
        <w:t>confirm</w:t>
      </w:r>
      <w:r>
        <w:rPr>
          <w:lang w:val="en-US"/>
        </w:rPr>
        <w:t>ed</w:t>
      </w:r>
      <w:r w:rsidRPr="003233FD">
        <w:rPr>
          <w:lang w:val="en-US"/>
        </w:rPr>
        <w:t xml:space="preserve"> high grade nature of the Target Block extending into previously</w:t>
      </w:r>
      <w:r>
        <w:rPr>
          <w:lang w:val="en-US"/>
        </w:rPr>
        <w:t xml:space="preserve"> </w:t>
      </w:r>
      <w:r w:rsidRPr="003233FD">
        <w:rPr>
          <w:lang w:val="en-US"/>
        </w:rPr>
        <w:t>unmined areas with grades of up to 48.3g/t Au over 1m</w:t>
      </w:r>
      <w:r>
        <w:rPr>
          <w:lang w:val="en-US"/>
        </w:rPr>
        <w:t xml:space="preserve">, and confirmed the </w:t>
      </w:r>
      <w:r w:rsidRPr="00D93870">
        <w:rPr>
          <w:lang w:val="en-US"/>
        </w:rPr>
        <w:t>continuity of the newly discovered 75 Vein, with</w:t>
      </w:r>
      <w:r>
        <w:rPr>
          <w:lang w:val="en-US"/>
        </w:rPr>
        <w:t xml:space="preserve"> </w:t>
      </w:r>
      <w:r w:rsidRPr="00D93870">
        <w:rPr>
          <w:lang w:val="en-US"/>
        </w:rPr>
        <w:t>grades of up to 256g/t Au over 0.5m</w:t>
      </w:r>
      <w:r w:rsidRPr="003233FD">
        <w:rPr>
          <w:lang w:val="en-US"/>
        </w:rPr>
        <w:t>.</w:t>
      </w:r>
    </w:p>
    <w:p w14:paraId="454F8B73" w14:textId="77777777" w:rsidR="009633AC" w:rsidRDefault="009633AC" w:rsidP="009633AC">
      <w:pPr>
        <w:pStyle w:val="ProspectusCont3"/>
        <w:rPr>
          <w:rStyle w:val="am"/>
        </w:rPr>
      </w:pPr>
      <w:r>
        <w:rPr>
          <w:rStyle w:val="am"/>
        </w:rPr>
        <w:t xml:space="preserve">On February 5, 2024, the Corporation confirmed that its joint UK corporate brokers are </w:t>
      </w:r>
      <w:r w:rsidRPr="005869BA">
        <w:rPr>
          <w:rStyle w:val="am"/>
        </w:rPr>
        <w:t>Stifel Nicolaus Europe Limited and Panmure Gordon (UK) Limited.</w:t>
      </w:r>
    </w:p>
    <w:p w14:paraId="17A58C74" w14:textId="77777777" w:rsidR="009633AC" w:rsidRDefault="009633AC" w:rsidP="009633AC">
      <w:pPr>
        <w:pStyle w:val="ProspectusCont3"/>
        <w:rPr>
          <w:rStyle w:val="am"/>
        </w:rPr>
      </w:pPr>
      <w:r>
        <w:rPr>
          <w:rStyle w:val="am"/>
        </w:rPr>
        <w:t>On 23 February</w:t>
      </w:r>
      <w:r w:rsidRPr="00702EE1">
        <w:rPr>
          <w:rStyle w:val="am"/>
        </w:rPr>
        <w:t xml:space="preserve"> 2024, the Corporation </w:t>
      </w:r>
      <w:r>
        <w:rPr>
          <w:rStyle w:val="am"/>
        </w:rPr>
        <w:t>closed a fundraising which raised net proceeds of approximately C$75 million (£44 million, ISK 7.6 billion) through a placing of 9,955,686 Common Shares pursuant to a UK placing, 49,531,472 Common Shares pursuant to an Icelandic placing, and 3,237,600 Common Shares pursuant to a Canadian subscription (the "</w:t>
      </w:r>
      <w:r w:rsidRPr="007B7A7B">
        <w:rPr>
          <w:rStyle w:val="am"/>
          <w:b/>
          <w:bCs/>
        </w:rPr>
        <w:t>Fundraising</w:t>
      </w:r>
      <w:r>
        <w:rPr>
          <w:rStyle w:val="am"/>
        </w:rPr>
        <w:t>"). Stifel</w:t>
      </w:r>
      <w:r w:rsidRPr="002A57E3">
        <w:t xml:space="preserve"> </w:t>
      </w:r>
      <w:r w:rsidRPr="002A57E3">
        <w:rPr>
          <w:rStyle w:val="am"/>
        </w:rPr>
        <w:t>Nicolaus Europe Limited</w:t>
      </w:r>
      <w:r>
        <w:rPr>
          <w:rStyle w:val="am"/>
        </w:rPr>
        <w:t xml:space="preserve"> acted as sole bookrunner and broker in connection with the UK placing. Landsbankinn </w:t>
      </w:r>
      <w:r w:rsidRPr="002A57E3">
        <w:rPr>
          <w:rStyle w:val="am"/>
        </w:rPr>
        <w:t>hf. ("</w:t>
      </w:r>
      <w:r w:rsidRPr="002A57E3">
        <w:rPr>
          <w:rStyle w:val="am"/>
          <w:b/>
          <w:bCs/>
        </w:rPr>
        <w:t>Landsbankinn</w:t>
      </w:r>
      <w:r w:rsidRPr="002A57E3">
        <w:rPr>
          <w:rStyle w:val="am"/>
        </w:rPr>
        <w:t>")</w:t>
      </w:r>
      <w:r>
        <w:rPr>
          <w:rStyle w:val="am"/>
        </w:rPr>
        <w:t xml:space="preserve"> and Fossar </w:t>
      </w:r>
      <w:r w:rsidRPr="002A57E3">
        <w:rPr>
          <w:rStyle w:val="am"/>
        </w:rPr>
        <w:t>Investment Bank hf. (</w:t>
      </w:r>
      <w:r>
        <w:rPr>
          <w:rStyle w:val="am"/>
        </w:rPr>
        <w:t>"</w:t>
      </w:r>
      <w:r w:rsidRPr="002A57E3">
        <w:rPr>
          <w:rStyle w:val="am"/>
          <w:b/>
          <w:bCs/>
        </w:rPr>
        <w:t>Fossar</w:t>
      </w:r>
      <w:r>
        <w:rPr>
          <w:rStyle w:val="am"/>
        </w:rPr>
        <w:t>"</w:t>
      </w:r>
      <w:r w:rsidRPr="002A57E3">
        <w:rPr>
          <w:rStyle w:val="am"/>
        </w:rPr>
        <w:t>)</w:t>
      </w:r>
      <w:r>
        <w:rPr>
          <w:rStyle w:val="am"/>
        </w:rPr>
        <w:t xml:space="preserve"> acted as joint bookrunners on the Icelandic placing and Lansbankinn acted as underwriter.</w:t>
      </w:r>
    </w:p>
    <w:p w14:paraId="4509F12B" w14:textId="77777777" w:rsidR="009633AC" w:rsidRDefault="009633AC" w:rsidP="009633AC">
      <w:pPr>
        <w:pStyle w:val="ProspectusCont3"/>
        <w:rPr>
          <w:rStyle w:val="am"/>
        </w:rPr>
      </w:pPr>
      <w:r w:rsidRPr="009B0BDB">
        <w:rPr>
          <w:rStyle w:val="am"/>
        </w:rPr>
        <w:t xml:space="preserve">On </w:t>
      </w:r>
      <w:r>
        <w:rPr>
          <w:rStyle w:val="am"/>
        </w:rPr>
        <w:t>February</w:t>
      </w:r>
      <w:r w:rsidRPr="009B0BDB">
        <w:rPr>
          <w:rStyle w:val="am"/>
        </w:rPr>
        <w:t xml:space="preserve"> 29, 2024, the Corporation announced a new Ni-Cu discovery at its Stendalen </w:t>
      </w:r>
      <w:r>
        <w:rPr>
          <w:rStyle w:val="am"/>
        </w:rPr>
        <w:t>p</w:t>
      </w:r>
      <w:r w:rsidRPr="009B0BDB">
        <w:rPr>
          <w:rStyle w:val="am"/>
        </w:rPr>
        <w:t>roject.</w:t>
      </w:r>
    </w:p>
    <w:p w14:paraId="2975CCD9" w14:textId="77777777" w:rsidR="009633AC" w:rsidRPr="002A57E3" w:rsidRDefault="009633AC" w:rsidP="009633AC">
      <w:pPr>
        <w:pStyle w:val="ProspectusCont3"/>
      </w:pPr>
      <w:r>
        <w:rPr>
          <w:rStyle w:val="am"/>
        </w:rPr>
        <w:t xml:space="preserve">On March 11, 2024, the Corporation announced that Jaco Crouse will resign as chief financial officer and director on June 3, 2024. </w:t>
      </w:r>
    </w:p>
    <w:p w14:paraId="27406C96" w14:textId="77777777" w:rsidR="009633AC" w:rsidRPr="00320924" w:rsidRDefault="009633AC" w:rsidP="009633AC">
      <w:pPr>
        <w:pStyle w:val="ProspectusL3"/>
      </w:pPr>
      <w:r w:rsidRPr="00320924">
        <w:lastRenderedPageBreak/>
        <w:t>2023</w:t>
      </w:r>
    </w:p>
    <w:p w14:paraId="6D928278" w14:textId="77777777" w:rsidR="009633AC" w:rsidRDefault="009633AC" w:rsidP="009633AC">
      <w:pPr>
        <w:pStyle w:val="ProspectusCont3"/>
        <w:rPr>
          <w:lang w:val="en-US"/>
        </w:rPr>
      </w:pPr>
      <w:r>
        <w:rPr>
          <w:lang w:val="en-US"/>
        </w:rPr>
        <w:t xml:space="preserve">On January 24, 2023, the Corporation announced details of its 2022 </w:t>
      </w:r>
      <w:r w:rsidRPr="007C29F8">
        <w:rPr>
          <w:lang w:val="en-US"/>
        </w:rPr>
        <w:t>Kobberminebugt project exploration programme</w:t>
      </w:r>
      <w:r>
        <w:rPr>
          <w:lang w:val="en-US"/>
        </w:rPr>
        <w:t>, including r</w:t>
      </w:r>
      <w:r w:rsidRPr="00BC04EC">
        <w:rPr>
          <w:lang w:val="en-US"/>
        </w:rPr>
        <w:t xml:space="preserve">emaining </w:t>
      </w:r>
      <w:r>
        <w:rPr>
          <w:lang w:val="en-US"/>
        </w:rPr>
        <w:t>mineralization</w:t>
      </w:r>
      <w:r w:rsidRPr="00BC04EC">
        <w:rPr>
          <w:lang w:val="en-US"/>
        </w:rPr>
        <w:t xml:space="preserve"> at Josva sampled with channel samples, which recorded up</w:t>
      </w:r>
      <w:r>
        <w:rPr>
          <w:lang w:val="en-US"/>
        </w:rPr>
        <w:t xml:space="preserve"> </w:t>
      </w:r>
      <w:r w:rsidRPr="00BC04EC">
        <w:rPr>
          <w:lang w:val="en-US"/>
        </w:rPr>
        <w:t>to 4.2% Cu over 2.5m including 11.6% Cu over 50cm</w:t>
      </w:r>
      <w:r>
        <w:rPr>
          <w:lang w:val="en-US"/>
        </w:rPr>
        <w:t>.</w:t>
      </w:r>
    </w:p>
    <w:p w14:paraId="28A4167A" w14:textId="77777777" w:rsidR="009633AC" w:rsidRDefault="009633AC" w:rsidP="009633AC">
      <w:pPr>
        <w:pStyle w:val="ProspectusCont3"/>
        <w:rPr>
          <w:lang w:val="en-US"/>
        </w:rPr>
      </w:pPr>
      <w:r>
        <w:rPr>
          <w:lang w:val="en-US"/>
        </w:rPr>
        <w:t xml:space="preserve">On February 7, 2023, the Corporation announced </w:t>
      </w:r>
      <w:r w:rsidRPr="007C29F8">
        <w:rPr>
          <w:lang w:val="en-US"/>
        </w:rPr>
        <w:t>the results of its 2022 exploration programme at the Vagar licence</w:t>
      </w:r>
      <w:r>
        <w:rPr>
          <w:lang w:val="en-US"/>
        </w:rPr>
        <w:t xml:space="preserve"> </w:t>
      </w:r>
      <w:r w:rsidRPr="00BC04EC">
        <w:rPr>
          <w:lang w:val="en-US"/>
        </w:rPr>
        <w:t>focused on drilling a small portion of the Vagar Ridge target</w:t>
      </w:r>
      <w:r>
        <w:rPr>
          <w:lang w:val="en-US"/>
        </w:rPr>
        <w:t xml:space="preserve"> </w:t>
      </w:r>
      <w:r w:rsidRPr="00BC04EC">
        <w:rPr>
          <w:lang w:val="en-US"/>
        </w:rPr>
        <w:t>and confirming the scale of the wider area at East Ridge</w:t>
      </w:r>
      <w:r>
        <w:rPr>
          <w:lang w:val="en-US"/>
        </w:rPr>
        <w:t>.</w:t>
      </w:r>
    </w:p>
    <w:p w14:paraId="39FF1AEA" w14:textId="77777777" w:rsidR="009633AC" w:rsidRDefault="009633AC" w:rsidP="009633AC">
      <w:pPr>
        <w:pStyle w:val="ProspectusCont3"/>
        <w:rPr>
          <w:lang w:val="en-US"/>
        </w:rPr>
      </w:pPr>
      <w:r>
        <w:rPr>
          <w:lang w:val="en-US"/>
        </w:rPr>
        <w:t xml:space="preserve">On April 13, 2023, the GCAM joint venture was completed. The Corporation announced that </w:t>
      </w:r>
      <w:r w:rsidRPr="007C29F8">
        <w:rPr>
          <w:lang w:val="en-US"/>
        </w:rPr>
        <w:t>all of the conditions for the</w:t>
      </w:r>
      <w:r>
        <w:rPr>
          <w:lang w:val="en-US"/>
        </w:rPr>
        <w:t xml:space="preserve"> r</w:t>
      </w:r>
      <w:r w:rsidRPr="007C29F8">
        <w:rPr>
          <w:lang w:val="en-US"/>
        </w:rPr>
        <w:t xml:space="preserve">elease from escrow of the subscription and shareholders' agreement between the </w:t>
      </w:r>
      <w:r>
        <w:rPr>
          <w:lang w:val="en-US"/>
        </w:rPr>
        <w:t>Corporation</w:t>
      </w:r>
      <w:r w:rsidRPr="007C29F8">
        <w:rPr>
          <w:lang w:val="en-US"/>
        </w:rPr>
        <w:t>,</w:t>
      </w:r>
      <w:r>
        <w:rPr>
          <w:lang w:val="en-US"/>
        </w:rPr>
        <w:t xml:space="preserve"> </w:t>
      </w:r>
      <w:r w:rsidRPr="007C29F8">
        <w:rPr>
          <w:lang w:val="en-US"/>
        </w:rPr>
        <w:t>Nalunaq A/S and GCAM LP (the "</w:t>
      </w:r>
      <w:r w:rsidRPr="004E343F">
        <w:rPr>
          <w:b/>
          <w:bCs/>
          <w:lang w:val="en-US"/>
        </w:rPr>
        <w:t>Subscription and Shareholders' Agreement</w:t>
      </w:r>
      <w:r w:rsidRPr="007C29F8">
        <w:rPr>
          <w:lang w:val="en-US"/>
        </w:rPr>
        <w:t xml:space="preserve">") </w:t>
      </w:r>
      <w:r>
        <w:rPr>
          <w:lang w:val="en-US"/>
        </w:rPr>
        <w:t xml:space="preserve">were </w:t>
      </w:r>
      <w:r w:rsidRPr="007C29F8">
        <w:rPr>
          <w:lang w:val="en-US"/>
        </w:rPr>
        <w:t>satisfied or waived.</w:t>
      </w:r>
      <w:r>
        <w:rPr>
          <w:lang w:val="en-US"/>
        </w:rPr>
        <w:t xml:space="preserve"> </w:t>
      </w:r>
      <w:r w:rsidRPr="007C29F8">
        <w:rPr>
          <w:lang w:val="en-US"/>
        </w:rPr>
        <w:t xml:space="preserve">As a result, the Subscription and Shareholders' Agreement </w:t>
      </w:r>
      <w:r>
        <w:rPr>
          <w:lang w:val="en-US"/>
        </w:rPr>
        <w:t>became</w:t>
      </w:r>
      <w:r w:rsidRPr="007C29F8">
        <w:rPr>
          <w:lang w:val="en-US"/>
        </w:rPr>
        <w:t xml:space="preserve"> effective, and</w:t>
      </w:r>
      <w:r>
        <w:rPr>
          <w:lang w:val="en-US"/>
        </w:rPr>
        <w:t xml:space="preserve"> </w:t>
      </w:r>
      <w:r w:rsidRPr="007C29F8">
        <w:rPr>
          <w:lang w:val="en-US"/>
        </w:rPr>
        <w:t>completion occu</w:t>
      </w:r>
      <w:r>
        <w:rPr>
          <w:lang w:val="en-US"/>
        </w:rPr>
        <w:t>r</w:t>
      </w:r>
      <w:r w:rsidRPr="007C29F8">
        <w:rPr>
          <w:lang w:val="en-US"/>
        </w:rPr>
        <w:t>r</w:t>
      </w:r>
      <w:r>
        <w:rPr>
          <w:lang w:val="en-US"/>
        </w:rPr>
        <w:t>ed</w:t>
      </w:r>
      <w:r w:rsidRPr="007C29F8">
        <w:rPr>
          <w:lang w:val="en-US"/>
        </w:rPr>
        <w:t xml:space="preserve"> on or before April 14</w:t>
      </w:r>
      <w:r>
        <w:rPr>
          <w:lang w:val="en-US"/>
        </w:rPr>
        <w:t>,</w:t>
      </w:r>
      <w:r w:rsidRPr="007C29F8">
        <w:rPr>
          <w:lang w:val="en-US"/>
        </w:rPr>
        <w:t xml:space="preserve"> 2023. At completion, GCAM LP subscribe</w:t>
      </w:r>
      <w:r>
        <w:rPr>
          <w:lang w:val="en-US"/>
        </w:rPr>
        <w:t xml:space="preserve">d </w:t>
      </w:r>
      <w:r w:rsidRPr="007C29F8">
        <w:rPr>
          <w:lang w:val="en-US"/>
        </w:rPr>
        <w:t xml:space="preserve">£18,000,000 and </w:t>
      </w:r>
      <w:r>
        <w:rPr>
          <w:lang w:val="en-US"/>
        </w:rPr>
        <w:t xml:space="preserve">was </w:t>
      </w:r>
      <w:r w:rsidRPr="007C29F8">
        <w:rPr>
          <w:lang w:val="en-US"/>
        </w:rPr>
        <w:t>issued with 490,000 ordinary shares in the new joint venture company</w:t>
      </w:r>
      <w:r>
        <w:rPr>
          <w:lang w:val="en-US"/>
        </w:rPr>
        <w:t xml:space="preserve"> </w:t>
      </w:r>
      <w:r w:rsidRPr="007C29F8">
        <w:rPr>
          <w:lang w:val="en-US"/>
        </w:rPr>
        <w:t xml:space="preserve">Gardaq A/S, representing 49% of the issued shares in Gardaq A/S, with </w:t>
      </w:r>
      <w:r>
        <w:rPr>
          <w:lang w:val="en-US"/>
        </w:rPr>
        <w:t>the Corporation</w:t>
      </w:r>
      <w:r w:rsidRPr="007C29F8">
        <w:rPr>
          <w:lang w:val="en-US"/>
        </w:rPr>
        <w:t xml:space="preserve"> holding 51%.</w:t>
      </w:r>
      <w:r>
        <w:rPr>
          <w:lang w:val="en-US"/>
        </w:rPr>
        <w:t xml:space="preserve"> </w:t>
      </w:r>
      <w:r w:rsidRPr="00C47B29">
        <w:rPr>
          <w:lang w:val="en-US"/>
        </w:rPr>
        <w:t xml:space="preserve">Through the joint venture company, </w:t>
      </w:r>
      <w:r>
        <w:rPr>
          <w:lang w:val="en-US"/>
        </w:rPr>
        <w:t>the Corporation</w:t>
      </w:r>
      <w:r w:rsidRPr="00C47B29">
        <w:rPr>
          <w:lang w:val="en-US"/>
        </w:rPr>
        <w:t xml:space="preserve"> will focus on exploring for significant strategic</w:t>
      </w:r>
      <w:r>
        <w:rPr>
          <w:lang w:val="en-US"/>
        </w:rPr>
        <w:t xml:space="preserve"> </w:t>
      </w:r>
      <w:r w:rsidRPr="00C47B29">
        <w:rPr>
          <w:lang w:val="en-US"/>
        </w:rPr>
        <w:t>minerals deposits in the Sava Copper Belt, Stendalen, Paatusoq and Kobberminebugt.</w:t>
      </w:r>
    </w:p>
    <w:p w14:paraId="0AB85F9F" w14:textId="77777777" w:rsidR="009633AC" w:rsidRDefault="009633AC" w:rsidP="009633AC">
      <w:pPr>
        <w:pStyle w:val="ProspectusCont3"/>
        <w:rPr>
          <w:lang w:val="en-US"/>
        </w:rPr>
      </w:pPr>
      <w:r>
        <w:rPr>
          <w:lang w:val="en-US"/>
        </w:rPr>
        <w:t xml:space="preserve">On May 3, 2023, the Corporation announced </w:t>
      </w:r>
      <w:r w:rsidRPr="004E343F">
        <w:rPr>
          <w:lang w:val="en-US"/>
        </w:rPr>
        <w:t>the results of its 2022 exploration campaign at the</w:t>
      </w:r>
      <w:r>
        <w:rPr>
          <w:lang w:val="en-US"/>
        </w:rPr>
        <w:t xml:space="preserve"> </w:t>
      </w:r>
      <w:r w:rsidRPr="004E343F">
        <w:rPr>
          <w:lang w:val="en-US"/>
        </w:rPr>
        <w:t xml:space="preserve">Nanoq </w:t>
      </w:r>
      <w:r>
        <w:rPr>
          <w:lang w:val="en-US"/>
        </w:rPr>
        <w:t>p</w:t>
      </w:r>
      <w:r w:rsidRPr="004E343F">
        <w:rPr>
          <w:lang w:val="en-US"/>
        </w:rPr>
        <w:t>roject</w:t>
      </w:r>
      <w:r>
        <w:rPr>
          <w:lang w:val="en-US"/>
        </w:rPr>
        <w:t xml:space="preserve"> from a</w:t>
      </w:r>
      <w:r w:rsidRPr="00C47B29">
        <w:rPr>
          <w:lang w:val="en-US"/>
        </w:rPr>
        <w:t xml:space="preserve"> 407.65 km</w:t>
      </w:r>
      <w:r w:rsidRPr="00C47B29">
        <w:rPr>
          <w:vertAlign w:val="superscript"/>
          <w:lang w:val="en-US"/>
        </w:rPr>
        <w:t xml:space="preserve">2 </w:t>
      </w:r>
      <w:r w:rsidRPr="00C47B29">
        <w:rPr>
          <w:lang w:val="en-US"/>
        </w:rPr>
        <w:t>high-resolution heli-borne geophysical survey across the</w:t>
      </w:r>
      <w:r>
        <w:rPr>
          <w:lang w:val="en-US"/>
        </w:rPr>
        <w:t xml:space="preserve"> </w:t>
      </w:r>
      <w:r w:rsidRPr="00C47B29">
        <w:rPr>
          <w:lang w:val="en-US"/>
        </w:rPr>
        <w:t>Nanoq, Siku and Jokum</w:t>
      </w:r>
      <w:r>
        <w:rPr>
          <w:lang w:val="en-US"/>
        </w:rPr>
        <w:t>'</w:t>
      </w:r>
      <w:r w:rsidRPr="00C47B29">
        <w:rPr>
          <w:lang w:val="en-US"/>
        </w:rPr>
        <w:t>s Shear gold projects</w:t>
      </w:r>
      <w:r w:rsidRPr="004E343F">
        <w:rPr>
          <w:lang w:val="en-US"/>
        </w:rPr>
        <w:t>.</w:t>
      </w:r>
    </w:p>
    <w:p w14:paraId="5E391DB8" w14:textId="77777777" w:rsidR="009633AC" w:rsidRDefault="009633AC" w:rsidP="009633AC">
      <w:pPr>
        <w:pStyle w:val="ProspectusCont3"/>
        <w:rPr>
          <w:lang w:val="en-US"/>
        </w:rPr>
      </w:pPr>
      <w:r>
        <w:rPr>
          <w:lang w:val="en-US"/>
        </w:rPr>
        <w:t>I</w:t>
      </w:r>
      <w:r w:rsidRPr="004E343F">
        <w:rPr>
          <w:lang w:val="en-US"/>
        </w:rPr>
        <w:t>n addition to engaging Landsbankinn as project</w:t>
      </w:r>
      <w:r>
        <w:rPr>
          <w:lang w:val="en-US"/>
        </w:rPr>
        <w:t xml:space="preserve"> </w:t>
      </w:r>
      <w:r w:rsidRPr="004E343F">
        <w:rPr>
          <w:lang w:val="en-US"/>
        </w:rPr>
        <w:t xml:space="preserve">manager and advisor on the </w:t>
      </w:r>
      <w:r>
        <w:rPr>
          <w:lang w:val="en-US"/>
        </w:rPr>
        <w:t>Nasdaq Iceland's main market listing process ("</w:t>
      </w:r>
      <w:r w:rsidRPr="004E343F">
        <w:rPr>
          <w:b/>
          <w:bCs/>
          <w:lang w:val="en-US"/>
        </w:rPr>
        <w:t>Admission</w:t>
      </w:r>
      <w:r>
        <w:rPr>
          <w:lang w:val="en-US"/>
        </w:rPr>
        <w:t>")</w:t>
      </w:r>
      <w:r w:rsidRPr="004E343F">
        <w:rPr>
          <w:lang w:val="en-US"/>
        </w:rPr>
        <w:t xml:space="preserve">, </w:t>
      </w:r>
      <w:r>
        <w:rPr>
          <w:lang w:val="en-US"/>
        </w:rPr>
        <w:t xml:space="preserve">the Corporation </w:t>
      </w:r>
      <w:r w:rsidRPr="004E343F">
        <w:rPr>
          <w:lang w:val="en-US"/>
        </w:rPr>
        <w:t xml:space="preserve">engaged Fossar </w:t>
      </w:r>
      <w:r>
        <w:rPr>
          <w:lang w:val="en-US"/>
        </w:rPr>
        <w:t xml:space="preserve">on June 7, 2023 </w:t>
      </w:r>
      <w:r w:rsidRPr="004E343F">
        <w:rPr>
          <w:lang w:val="en-US"/>
        </w:rPr>
        <w:t>to assist in introducing Amaroq to investors, organizing investor meetings, and</w:t>
      </w:r>
      <w:r>
        <w:rPr>
          <w:lang w:val="en-US"/>
        </w:rPr>
        <w:t xml:space="preserve"> </w:t>
      </w:r>
      <w:r w:rsidRPr="004E343F">
        <w:rPr>
          <w:lang w:val="en-US"/>
        </w:rPr>
        <w:t>advising and analyzing the potential effects the Admission has on the liquidity and formation</w:t>
      </w:r>
      <w:r>
        <w:rPr>
          <w:lang w:val="en-US"/>
        </w:rPr>
        <w:t xml:space="preserve"> </w:t>
      </w:r>
      <w:r w:rsidRPr="004E343F">
        <w:rPr>
          <w:lang w:val="en-US"/>
        </w:rPr>
        <w:t>of the share price of the Corporation.</w:t>
      </w:r>
      <w:r>
        <w:rPr>
          <w:lang w:val="en-US"/>
        </w:rPr>
        <w:t xml:space="preserve"> This engagement ended upon the completion of the Admission.</w:t>
      </w:r>
    </w:p>
    <w:p w14:paraId="5035F635" w14:textId="77777777" w:rsidR="009633AC" w:rsidRDefault="009633AC" w:rsidP="009633AC">
      <w:pPr>
        <w:pStyle w:val="ProspectusCont3"/>
        <w:rPr>
          <w:lang w:val="en-US"/>
        </w:rPr>
      </w:pPr>
      <w:r>
        <w:rPr>
          <w:lang w:val="en-US"/>
        </w:rPr>
        <w:t>On August 29, 2023, the Corporation announced Q2 2023 operational highlights and the launch of initial construction activities underway at the Nalunaq Property.</w:t>
      </w:r>
    </w:p>
    <w:p w14:paraId="41332B57" w14:textId="77777777" w:rsidR="009633AC" w:rsidRDefault="009633AC" w:rsidP="009633AC">
      <w:pPr>
        <w:pStyle w:val="ProspectusCont3"/>
        <w:rPr>
          <w:lang w:val="en-US"/>
        </w:rPr>
      </w:pPr>
      <w:r>
        <w:rPr>
          <w:lang w:val="en-US"/>
        </w:rPr>
        <w:t xml:space="preserve">On September 1, 2023, the Corporation closed a </w:t>
      </w:r>
      <w:r w:rsidRPr="00C424EA">
        <w:rPr>
          <w:lang w:val="en-US"/>
        </w:rPr>
        <w:t>US$50.9 million senior secured package, consisting of:</w:t>
      </w:r>
      <w:r>
        <w:rPr>
          <w:lang w:val="en-US"/>
        </w:rPr>
        <w:t xml:space="preserve"> (i) </w:t>
      </w:r>
      <w:r w:rsidRPr="00C424EA">
        <w:rPr>
          <w:lang w:val="en-US"/>
        </w:rPr>
        <w:t>US$18.5 million senior debt term loans ("</w:t>
      </w:r>
      <w:r w:rsidRPr="00C424EA">
        <w:rPr>
          <w:b/>
          <w:bCs/>
          <w:lang w:val="en-US"/>
        </w:rPr>
        <w:t>Senior Debt Term Loans</w:t>
      </w:r>
      <w:r w:rsidRPr="00C424EA">
        <w:rPr>
          <w:lang w:val="en-US"/>
        </w:rPr>
        <w:t>") pursuant to revolving credit</w:t>
      </w:r>
      <w:r>
        <w:rPr>
          <w:lang w:val="en-US"/>
        </w:rPr>
        <w:t xml:space="preserve"> </w:t>
      </w:r>
      <w:r w:rsidRPr="00C424EA">
        <w:rPr>
          <w:lang w:val="en-US"/>
        </w:rPr>
        <w:t>facilities provided by Landsbankinn and Fossar;</w:t>
      </w:r>
      <w:r>
        <w:rPr>
          <w:lang w:val="en-US"/>
        </w:rPr>
        <w:t xml:space="preserve"> (ii)</w:t>
      </w:r>
      <w:r w:rsidRPr="005F3132">
        <w:rPr>
          <w:lang w:val="en-US"/>
        </w:rPr>
        <w:t xml:space="preserve"> a</w:t>
      </w:r>
      <w:r w:rsidRPr="00C424EA">
        <w:rPr>
          <w:lang w:val="en-US"/>
        </w:rPr>
        <w:t xml:space="preserve"> total of US$22.4 million convertible notes (the "</w:t>
      </w:r>
      <w:r w:rsidRPr="00C424EA">
        <w:rPr>
          <w:b/>
          <w:bCs/>
          <w:lang w:val="en-US"/>
        </w:rPr>
        <w:t>Convertible Notes</w:t>
      </w:r>
      <w:r w:rsidRPr="00C424EA">
        <w:rPr>
          <w:lang w:val="en-US"/>
        </w:rPr>
        <w:t>"), with US$16 million of</w:t>
      </w:r>
      <w:r>
        <w:rPr>
          <w:lang w:val="en-US"/>
        </w:rPr>
        <w:t xml:space="preserve"> </w:t>
      </w:r>
      <w:r w:rsidRPr="00C424EA">
        <w:rPr>
          <w:lang w:val="en-US"/>
        </w:rPr>
        <w:t>Convertible Notes issued to ECAM LP, US$4 million of Convertible Notes issued to JLE Property</w:t>
      </w:r>
      <w:r>
        <w:rPr>
          <w:lang w:val="en-US"/>
        </w:rPr>
        <w:t xml:space="preserve"> </w:t>
      </w:r>
      <w:r w:rsidRPr="00C424EA">
        <w:rPr>
          <w:lang w:val="en-US"/>
        </w:rPr>
        <w:t>Ltd. and US$2.4 million of Convertible Notes issued to Livermore Partners LLC (the "</w:t>
      </w:r>
      <w:r w:rsidRPr="00C424EA">
        <w:rPr>
          <w:b/>
          <w:bCs/>
          <w:lang w:val="en-US"/>
        </w:rPr>
        <w:t>Convertible Note Offering</w:t>
      </w:r>
      <w:r w:rsidRPr="00C424EA">
        <w:rPr>
          <w:lang w:val="en-US"/>
        </w:rPr>
        <w:t>")</w:t>
      </w:r>
      <w:r>
        <w:rPr>
          <w:lang w:val="en-US"/>
        </w:rPr>
        <w:t xml:space="preserve"> ; and (iii) </w:t>
      </w:r>
      <w:r w:rsidRPr="00C424EA">
        <w:rPr>
          <w:lang w:val="en-US"/>
        </w:rPr>
        <w:t>an overrun loan from JLE Property Ltd. of up to US$10 million under a revolving credit facility (the</w:t>
      </w:r>
      <w:r>
        <w:rPr>
          <w:lang w:val="en-US"/>
        </w:rPr>
        <w:t xml:space="preserve"> </w:t>
      </w:r>
      <w:r w:rsidRPr="00C424EA">
        <w:rPr>
          <w:lang w:val="en-US"/>
        </w:rPr>
        <w:t>"</w:t>
      </w:r>
      <w:r w:rsidRPr="00C424EA">
        <w:rPr>
          <w:b/>
          <w:bCs/>
          <w:lang w:val="en-US"/>
        </w:rPr>
        <w:t>Overrun Loan</w:t>
      </w:r>
      <w:r w:rsidRPr="00C424EA">
        <w:rPr>
          <w:lang w:val="en-US"/>
        </w:rPr>
        <w:t>" and together with the Senior Debt Term Loans, the "</w:t>
      </w:r>
      <w:r w:rsidRPr="00C424EA">
        <w:rPr>
          <w:b/>
          <w:bCs/>
          <w:lang w:val="en-US"/>
        </w:rPr>
        <w:t>Facilities</w:t>
      </w:r>
      <w:r w:rsidRPr="00C424EA">
        <w:rPr>
          <w:lang w:val="en-US"/>
        </w:rPr>
        <w:t>").</w:t>
      </w:r>
    </w:p>
    <w:p w14:paraId="63128B82" w14:textId="77777777" w:rsidR="009633AC" w:rsidRDefault="009633AC" w:rsidP="009633AC">
      <w:pPr>
        <w:pStyle w:val="ProspectusCont3"/>
        <w:rPr>
          <w:lang w:val="en-US"/>
        </w:rPr>
      </w:pPr>
      <w:r w:rsidRPr="00C424EA">
        <w:rPr>
          <w:lang w:val="en-US"/>
        </w:rPr>
        <w:t>The Convertible Notes bear interest at a rate of 5% per annum and mature on September 1, 2027,</w:t>
      </w:r>
      <w:r>
        <w:rPr>
          <w:lang w:val="en-US"/>
        </w:rPr>
        <w:t xml:space="preserve"> </w:t>
      </w:r>
      <w:r w:rsidRPr="00C424EA">
        <w:rPr>
          <w:lang w:val="en-US"/>
        </w:rPr>
        <w:t>being the date that is four years from the Convertible Note Offering closing date. The principal amount of</w:t>
      </w:r>
      <w:r>
        <w:rPr>
          <w:lang w:val="en-US"/>
        </w:rPr>
        <w:t xml:space="preserve"> </w:t>
      </w:r>
      <w:r w:rsidRPr="00C424EA">
        <w:rPr>
          <w:lang w:val="en-US"/>
        </w:rPr>
        <w:t xml:space="preserve">the Convertible Notes </w:t>
      </w:r>
      <w:r>
        <w:rPr>
          <w:lang w:val="en-US"/>
        </w:rPr>
        <w:t>is</w:t>
      </w:r>
      <w:r w:rsidRPr="00C424EA">
        <w:rPr>
          <w:lang w:val="en-US"/>
        </w:rPr>
        <w:t xml:space="preserve"> convertible, in whole or in part, at any time from one month after issuance into</w:t>
      </w:r>
      <w:r>
        <w:rPr>
          <w:lang w:val="en-US"/>
        </w:rPr>
        <w:t xml:space="preserve"> Common Shares</w:t>
      </w:r>
      <w:r w:rsidRPr="00C424EA">
        <w:rPr>
          <w:lang w:val="en-US"/>
        </w:rPr>
        <w:t xml:space="preserve"> at a conversion price of C$0.90 (£0.525) per</w:t>
      </w:r>
      <w:r>
        <w:rPr>
          <w:lang w:val="en-US"/>
        </w:rPr>
        <w:t xml:space="preserve"> </w:t>
      </w:r>
      <w:r w:rsidRPr="00C424EA">
        <w:rPr>
          <w:lang w:val="en-US"/>
        </w:rPr>
        <w:t xml:space="preserve">Common Share </w:t>
      </w:r>
      <w:r>
        <w:rPr>
          <w:lang w:val="en-US"/>
        </w:rPr>
        <w:t>(the "</w:t>
      </w:r>
      <w:r w:rsidRPr="00627B9C">
        <w:rPr>
          <w:b/>
          <w:bCs/>
          <w:lang w:val="en-US"/>
        </w:rPr>
        <w:t>Conversion Price</w:t>
      </w:r>
      <w:r>
        <w:rPr>
          <w:lang w:val="en-US"/>
        </w:rPr>
        <w:t xml:space="preserve">") </w:t>
      </w:r>
      <w:r w:rsidRPr="00C424EA">
        <w:rPr>
          <w:lang w:val="en-US"/>
        </w:rPr>
        <w:t xml:space="preserve">for a total of up to 33,629,068 Common Shares. The </w:t>
      </w:r>
      <w:r>
        <w:rPr>
          <w:lang w:val="en-US"/>
        </w:rPr>
        <w:t>Corporation</w:t>
      </w:r>
      <w:r w:rsidRPr="00C424EA">
        <w:rPr>
          <w:lang w:val="en-US"/>
        </w:rPr>
        <w:t xml:space="preserve"> may repay the Convertible</w:t>
      </w:r>
      <w:r>
        <w:rPr>
          <w:lang w:val="en-US"/>
        </w:rPr>
        <w:t xml:space="preserve"> </w:t>
      </w:r>
      <w:r w:rsidRPr="00C424EA">
        <w:rPr>
          <w:lang w:val="en-US"/>
        </w:rPr>
        <w:t>Notes and accrued interest at any time, in cash, subject to providing 30 days</w:t>
      </w:r>
      <w:r>
        <w:rPr>
          <w:lang w:val="en-US"/>
        </w:rPr>
        <w:t>'</w:t>
      </w:r>
      <w:r w:rsidRPr="00C424EA">
        <w:rPr>
          <w:lang w:val="en-US"/>
        </w:rPr>
        <w:t xml:space="preserve"> notice to the relevant</w:t>
      </w:r>
      <w:r>
        <w:rPr>
          <w:lang w:val="en-US"/>
        </w:rPr>
        <w:t xml:space="preserve"> </w:t>
      </w:r>
      <w:r w:rsidRPr="00C424EA">
        <w:rPr>
          <w:lang w:val="en-US"/>
        </w:rPr>
        <w:t>noteholders, with such noteholders having the option to convert such Convertible Notes into Common</w:t>
      </w:r>
      <w:r>
        <w:rPr>
          <w:lang w:val="en-US"/>
        </w:rPr>
        <w:t xml:space="preserve"> </w:t>
      </w:r>
      <w:r w:rsidRPr="00C424EA">
        <w:rPr>
          <w:lang w:val="en-US"/>
        </w:rPr>
        <w:t xml:space="preserve">Shares at the conversion price. If the </w:t>
      </w:r>
      <w:r>
        <w:rPr>
          <w:lang w:val="en-US"/>
        </w:rPr>
        <w:t>Corporation</w:t>
      </w:r>
      <w:r w:rsidRPr="00C424EA">
        <w:rPr>
          <w:lang w:val="en-US"/>
        </w:rPr>
        <w:t xml:space="preserve"> chooses to redeem some but not all of the outstanding</w:t>
      </w:r>
      <w:r>
        <w:rPr>
          <w:lang w:val="en-US"/>
        </w:rPr>
        <w:t xml:space="preserve"> </w:t>
      </w:r>
      <w:r w:rsidRPr="00C424EA">
        <w:rPr>
          <w:lang w:val="en-US"/>
        </w:rPr>
        <w:t xml:space="preserve">Convertible Notes, the </w:t>
      </w:r>
      <w:r>
        <w:rPr>
          <w:lang w:val="en-US"/>
        </w:rPr>
        <w:t>Corporation</w:t>
      </w:r>
      <w:r w:rsidRPr="00C424EA">
        <w:rPr>
          <w:lang w:val="en-US"/>
        </w:rPr>
        <w:t xml:space="preserve"> shall redeem a pro rata share of each noteholder's holding of Convertible</w:t>
      </w:r>
      <w:r>
        <w:rPr>
          <w:lang w:val="en-US"/>
        </w:rPr>
        <w:t xml:space="preserve"> </w:t>
      </w:r>
      <w:r w:rsidRPr="00C424EA">
        <w:rPr>
          <w:lang w:val="en-US"/>
        </w:rPr>
        <w:t xml:space="preserve">Notes. The </w:t>
      </w:r>
      <w:r>
        <w:rPr>
          <w:lang w:val="en-US"/>
        </w:rPr>
        <w:t>Corporation</w:t>
      </w:r>
      <w:r w:rsidRPr="00C424EA">
        <w:rPr>
          <w:lang w:val="en-US"/>
        </w:rPr>
        <w:t xml:space="preserve"> shall pay a commitment fee to the holders of the Convertible Notes of, in aggregate,</w:t>
      </w:r>
      <w:r>
        <w:rPr>
          <w:lang w:val="en-US"/>
        </w:rPr>
        <w:t xml:space="preserve"> </w:t>
      </w:r>
      <w:r w:rsidRPr="00C424EA">
        <w:rPr>
          <w:lang w:val="en-US"/>
        </w:rPr>
        <w:t>US$4,484,032, which shall be paid pro rata to each noteholder's holding of Convertible Notes. The</w:t>
      </w:r>
      <w:r>
        <w:rPr>
          <w:lang w:val="en-US"/>
        </w:rPr>
        <w:t xml:space="preserve"> </w:t>
      </w:r>
      <w:r w:rsidRPr="00C424EA">
        <w:rPr>
          <w:lang w:val="en-US"/>
        </w:rPr>
        <w:t>commitment fee is payable on the earlier of (a) the date falling 20 business days after all amounts</w:t>
      </w:r>
      <w:r>
        <w:rPr>
          <w:lang w:val="en-US"/>
        </w:rPr>
        <w:t xml:space="preserve"> </w:t>
      </w:r>
      <w:r w:rsidRPr="00C424EA">
        <w:rPr>
          <w:lang w:val="en-US"/>
        </w:rPr>
        <w:t>outstanding under the Senior Debt Term Loans have been repaid in full, but no earlier than the date that is</w:t>
      </w:r>
      <w:r>
        <w:rPr>
          <w:lang w:val="en-US"/>
        </w:rPr>
        <w:t xml:space="preserve"> </w:t>
      </w:r>
      <w:r w:rsidRPr="00C424EA">
        <w:rPr>
          <w:lang w:val="en-US"/>
        </w:rPr>
        <w:t xml:space="preserve">24 months after the date of issuance of the </w:t>
      </w:r>
      <w:r>
        <w:rPr>
          <w:lang w:val="en-US"/>
        </w:rPr>
        <w:t xml:space="preserve">Convertible </w:t>
      </w:r>
      <w:r w:rsidRPr="00C424EA">
        <w:rPr>
          <w:lang w:val="en-US"/>
        </w:rPr>
        <w:t>Notes; and (b) the date falling 30 months after the date</w:t>
      </w:r>
      <w:r>
        <w:rPr>
          <w:lang w:val="en-US"/>
        </w:rPr>
        <w:t xml:space="preserve"> </w:t>
      </w:r>
      <w:r w:rsidRPr="00C424EA">
        <w:rPr>
          <w:lang w:val="en-US"/>
        </w:rPr>
        <w:t xml:space="preserve">of the subscription agreement in respect of the </w:t>
      </w:r>
      <w:r>
        <w:rPr>
          <w:lang w:val="en-US"/>
        </w:rPr>
        <w:t xml:space="preserve">Convertible </w:t>
      </w:r>
      <w:r w:rsidRPr="00C424EA">
        <w:rPr>
          <w:lang w:val="en-US"/>
        </w:rPr>
        <w:t xml:space="preserve">Notes, irrespective of whether or not </w:t>
      </w:r>
      <w:r>
        <w:rPr>
          <w:lang w:val="en-US"/>
        </w:rPr>
        <w:t xml:space="preserve">Convertible </w:t>
      </w:r>
      <w:r w:rsidRPr="00C424EA">
        <w:rPr>
          <w:lang w:val="en-US"/>
        </w:rPr>
        <w:t>Notes have converted</w:t>
      </w:r>
      <w:r>
        <w:rPr>
          <w:lang w:val="en-US"/>
        </w:rPr>
        <w:t xml:space="preserve"> </w:t>
      </w:r>
      <w:r w:rsidRPr="00C424EA">
        <w:rPr>
          <w:lang w:val="en-US"/>
        </w:rPr>
        <w:t>at that date or been repaid.</w:t>
      </w:r>
    </w:p>
    <w:p w14:paraId="597EF170" w14:textId="77777777" w:rsidR="009633AC" w:rsidRDefault="009633AC" w:rsidP="009633AC">
      <w:pPr>
        <w:pStyle w:val="ProspectusCont3"/>
        <w:rPr>
          <w:lang w:val="en-US"/>
        </w:rPr>
      </w:pPr>
      <w:r w:rsidRPr="00C424EA">
        <w:rPr>
          <w:lang w:val="en-US"/>
        </w:rPr>
        <w:t>The Facilities have a two year term and will bear interest at the CME Term SOFT Rates by CME Group</w:t>
      </w:r>
      <w:r>
        <w:rPr>
          <w:lang w:val="en-US"/>
        </w:rPr>
        <w:t xml:space="preserve"> </w:t>
      </w:r>
      <w:r w:rsidRPr="00C424EA">
        <w:rPr>
          <w:lang w:val="en-US"/>
        </w:rPr>
        <w:t>Inc. and have a margin of 9.5% per annum. The Landsbankinn and Fossar revolving credit facilities</w:t>
      </w:r>
      <w:r>
        <w:rPr>
          <w:lang w:val="en-US"/>
        </w:rPr>
        <w:t xml:space="preserve"> </w:t>
      </w:r>
      <w:r w:rsidRPr="00C424EA">
        <w:rPr>
          <w:lang w:val="en-US"/>
        </w:rPr>
        <w:t>under the Senior Debt Term Loans contain (i) a commitment fee of 0.40% per annum calculated on the</w:t>
      </w:r>
      <w:r>
        <w:rPr>
          <w:lang w:val="en-US"/>
        </w:rPr>
        <w:t xml:space="preserve"> </w:t>
      </w:r>
      <w:r w:rsidRPr="00C424EA">
        <w:rPr>
          <w:lang w:val="en-US"/>
        </w:rPr>
        <w:t>undrawn facility amount and (ii) an arrangement fee of 2.00% on the facility amount where 1.5% is to be</w:t>
      </w:r>
      <w:r>
        <w:rPr>
          <w:lang w:val="en-US"/>
        </w:rPr>
        <w:t xml:space="preserve"> </w:t>
      </w:r>
      <w:r w:rsidRPr="00C424EA">
        <w:rPr>
          <w:lang w:val="en-US"/>
        </w:rPr>
        <w:t xml:space="preserve">paid on or before the closing date of such facility </w:t>
      </w:r>
      <w:r w:rsidRPr="00C424EA">
        <w:rPr>
          <w:lang w:val="en-US"/>
        </w:rPr>
        <w:lastRenderedPageBreak/>
        <w:t>and 0.50% is to be paid on or before the first draw down.</w:t>
      </w:r>
      <w:r>
        <w:rPr>
          <w:lang w:val="en-US"/>
        </w:rPr>
        <w:t xml:space="preserve"> </w:t>
      </w:r>
      <w:r w:rsidRPr="00C424EA">
        <w:rPr>
          <w:lang w:val="en-US"/>
        </w:rPr>
        <w:t>The Overrun Loan contains a stand-by fee of 2.5% on the amount of committed funds. The Facilities are</w:t>
      </w:r>
      <w:r>
        <w:rPr>
          <w:lang w:val="en-US"/>
        </w:rPr>
        <w:t xml:space="preserve"> </w:t>
      </w:r>
      <w:r w:rsidRPr="00C424EA">
        <w:rPr>
          <w:lang w:val="en-US"/>
        </w:rPr>
        <w:t xml:space="preserve">not convertible into any securities of the </w:t>
      </w:r>
      <w:r>
        <w:rPr>
          <w:lang w:val="en-US"/>
        </w:rPr>
        <w:t>Corporation</w:t>
      </w:r>
      <w:r w:rsidRPr="00C424EA">
        <w:rPr>
          <w:lang w:val="en-US"/>
        </w:rPr>
        <w:t>.</w:t>
      </w:r>
    </w:p>
    <w:p w14:paraId="76012F26" w14:textId="77777777" w:rsidR="009633AC" w:rsidRDefault="009633AC" w:rsidP="009633AC">
      <w:pPr>
        <w:pStyle w:val="ProspectusCont3"/>
        <w:rPr>
          <w:lang w:val="en-US"/>
        </w:rPr>
      </w:pPr>
      <w:r w:rsidRPr="00C424EA">
        <w:rPr>
          <w:lang w:val="en-US"/>
        </w:rPr>
        <w:t xml:space="preserve">The Facilities and Convertible Notes </w:t>
      </w:r>
      <w:r>
        <w:rPr>
          <w:lang w:val="en-US"/>
        </w:rPr>
        <w:t xml:space="preserve">were </w:t>
      </w:r>
      <w:r w:rsidRPr="00C424EA">
        <w:rPr>
          <w:lang w:val="en-US"/>
        </w:rPr>
        <w:t>secured by (i) bank account pledge agreements from the</w:t>
      </w:r>
      <w:r>
        <w:rPr>
          <w:lang w:val="en-US"/>
        </w:rPr>
        <w:t xml:space="preserve"> Corporation</w:t>
      </w:r>
      <w:r w:rsidRPr="00C424EA">
        <w:rPr>
          <w:lang w:val="en-US"/>
        </w:rPr>
        <w:t xml:space="preserve"> and Nalunaq A/S, (ii) share pledges over all current and future acquired shares in Nalunaq A/S</w:t>
      </w:r>
      <w:r>
        <w:rPr>
          <w:lang w:val="en-US"/>
        </w:rPr>
        <w:t xml:space="preserve"> </w:t>
      </w:r>
      <w:r w:rsidRPr="00C424EA">
        <w:rPr>
          <w:lang w:val="en-US"/>
        </w:rPr>
        <w:t xml:space="preserve">and Gardaq A/S held by the </w:t>
      </w:r>
      <w:r>
        <w:rPr>
          <w:lang w:val="en-US"/>
        </w:rPr>
        <w:t>Corporation</w:t>
      </w:r>
      <w:r w:rsidRPr="00C424EA">
        <w:rPr>
          <w:lang w:val="en-US"/>
        </w:rPr>
        <w:t xml:space="preserve"> pursuant to the terms of share pledge agreements, (iii) a proceeds</w:t>
      </w:r>
      <w:r>
        <w:rPr>
          <w:lang w:val="en-US"/>
        </w:rPr>
        <w:t xml:space="preserve"> </w:t>
      </w:r>
      <w:r w:rsidRPr="00C424EA">
        <w:rPr>
          <w:lang w:val="en-US"/>
        </w:rPr>
        <w:t>loan assignment agreement, (iv) a pledge agreement in respect of owner</w:t>
      </w:r>
      <w:r>
        <w:rPr>
          <w:lang w:val="en-US"/>
        </w:rPr>
        <w:t>'</w:t>
      </w:r>
      <w:r w:rsidRPr="00C424EA">
        <w:rPr>
          <w:lang w:val="en-US"/>
        </w:rPr>
        <w:t>s mortgage deeds and (v) a</w:t>
      </w:r>
      <w:r>
        <w:rPr>
          <w:lang w:val="en-US"/>
        </w:rPr>
        <w:t xml:space="preserve"> </w:t>
      </w:r>
      <w:r w:rsidRPr="00C424EA">
        <w:rPr>
          <w:lang w:val="en-US"/>
        </w:rPr>
        <w:t>licence transfer agreement.</w:t>
      </w:r>
    </w:p>
    <w:p w14:paraId="267AC05D" w14:textId="77777777" w:rsidR="009633AC" w:rsidRDefault="009633AC" w:rsidP="009633AC">
      <w:pPr>
        <w:pStyle w:val="ProspectusCont3"/>
        <w:rPr>
          <w:lang w:val="en-US"/>
        </w:rPr>
      </w:pPr>
      <w:r w:rsidRPr="00ED5B46">
        <w:rPr>
          <w:lang w:val="en-US"/>
        </w:rPr>
        <w:t>On September 13, 2023, the Nasdaq exchange approved the Corporation</w:t>
      </w:r>
      <w:r>
        <w:rPr>
          <w:lang w:val="en-US"/>
        </w:rPr>
        <w:t>'</w:t>
      </w:r>
      <w:r w:rsidRPr="00ED5B46">
        <w:rPr>
          <w:lang w:val="en-US"/>
        </w:rPr>
        <w:t>s application for the transfer of its shares to Nasdaq Iceland</w:t>
      </w:r>
      <w:r>
        <w:rPr>
          <w:lang w:val="en-US"/>
        </w:rPr>
        <w:t>'</w:t>
      </w:r>
      <w:r w:rsidRPr="00ED5B46">
        <w:rPr>
          <w:lang w:val="en-US"/>
        </w:rPr>
        <w:t xml:space="preserve">s </w:t>
      </w:r>
      <w:r>
        <w:rPr>
          <w:lang w:val="en-US"/>
        </w:rPr>
        <w:t>m</w:t>
      </w:r>
      <w:r w:rsidRPr="00ED5B46">
        <w:rPr>
          <w:lang w:val="en-US"/>
        </w:rPr>
        <w:t>ain market from the Iceland First North Growth Market ("</w:t>
      </w:r>
      <w:r w:rsidRPr="00ED5B46">
        <w:rPr>
          <w:b/>
          <w:bCs/>
          <w:lang w:val="en-US"/>
        </w:rPr>
        <w:t>First North Iceland</w:t>
      </w:r>
      <w:r w:rsidRPr="00ED5B46">
        <w:rPr>
          <w:lang w:val="en-US"/>
        </w:rPr>
        <w:t xml:space="preserve">") and trading commenced on the Nasdaq Iceland's </w:t>
      </w:r>
      <w:r>
        <w:rPr>
          <w:lang w:val="en-US"/>
        </w:rPr>
        <w:t>m</w:t>
      </w:r>
      <w:r w:rsidRPr="00ED5B46">
        <w:rPr>
          <w:lang w:val="en-US"/>
        </w:rPr>
        <w:t>ain market on September 21, 2023</w:t>
      </w:r>
      <w:r>
        <w:rPr>
          <w:lang w:val="en-US"/>
        </w:rPr>
        <w:t>.</w:t>
      </w:r>
    </w:p>
    <w:p w14:paraId="4E32777E" w14:textId="77777777" w:rsidR="009633AC" w:rsidRDefault="009633AC" w:rsidP="009633AC">
      <w:pPr>
        <w:pStyle w:val="ProspectusCont3"/>
        <w:rPr>
          <w:lang w:val="en-US"/>
        </w:rPr>
      </w:pPr>
      <w:r>
        <w:rPr>
          <w:lang w:val="en-US"/>
        </w:rPr>
        <w:t xml:space="preserve">On October 4, 2023, the Corporation </w:t>
      </w:r>
      <w:r w:rsidRPr="008F6866">
        <w:rPr>
          <w:lang w:val="en-US"/>
        </w:rPr>
        <w:t>signed a contract mining agreement with Thyssen Schachtbau</w:t>
      </w:r>
      <w:r>
        <w:rPr>
          <w:lang w:val="en-US"/>
        </w:rPr>
        <w:t xml:space="preserve"> </w:t>
      </w:r>
      <w:r w:rsidRPr="008F6866">
        <w:rPr>
          <w:lang w:val="en-US"/>
        </w:rPr>
        <w:t>GmbH (</w:t>
      </w:r>
      <w:r>
        <w:rPr>
          <w:lang w:val="en-US"/>
        </w:rPr>
        <w:t>"</w:t>
      </w:r>
      <w:r w:rsidRPr="008F6866">
        <w:rPr>
          <w:b/>
          <w:bCs/>
          <w:lang w:val="en-US"/>
        </w:rPr>
        <w:t>Thyssen Schachtbau</w:t>
      </w:r>
      <w:r>
        <w:rPr>
          <w:lang w:val="en-US"/>
        </w:rPr>
        <w:t>"</w:t>
      </w:r>
      <w:r w:rsidRPr="008F6866">
        <w:rPr>
          <w:lang w:val="en-US"/>
        </w:rPr>
        <w:t>) and a procurement and supply chain support agreement with Tamarack</w:t>
      </w:r>
      <w:r>
        <w:rPr>
          <w:lang w:val="en-US"/>
        </w:rPr>
        <w:t xml:space="preserve"> </w:t>
      </w:r>
      <w:r w:rsidRPr="008F6866">
        <w:rPr>
          <w:lang w:val="en-US"/>
        </w:rPr>
        <w:t>Mining Services.</w:t>
      </w:r>
      <w:r w:rsidRPr="005F3132">
        <w:rPr>
          <w:lang w:val="en-US"/>
        </w:rPr>
        <w:t xml:space="preserve"> </w:t>
      </w:r>
      <w:r w:rsidRPr="008F6866">
        <w:rPr>
          <w:lang w:val="en-US"/>
        </w:rPr>
        <w:t>The initial two-year contract mining agreement with Thyssen Schachtbau covers the</w:t>
      </w:r>
      <w:r>
        <w:rPr>
          <w:lang w:val="en-US"/>
        </w:rPr>
        <w:t xml:space="preserve"> </w:t>
      </w:r>
      <w:r w:rsidRPr="008F6866">
        <w:rPr>
          <w:lang w:val="en-US"/>
        </w:rPr>
        <w:t>rehabilitation of the existing portals, ramps, ventilation, and electricity supply of the targeted</w:t>
      </w:r>
      <w:r>
        <w:rPr>
          <w:lang w:val="en-US"/>
        </w:rPr>
        <w:t xml:space="preserve"> </w:t>
      </w:r>
      <w:r w:rsidRPr="008F6866">
        <w:rPr>
          <w:lang w:val="en-US"/>
        </w:rPr>
        <w:t>mining area, followed by the initial development and stoping of the high-grade Mountain Block</w:t>
      </w:r>
      <w:r>
        <w:rPr>
          <w:lang w:val="en-US"/>
        </w:rPr>
        <w:t>.</w:t>
      </w:r>
    </w:p>
    <w:p w14:paraId="011EF019" w14:textId="77777777" w:rsidR="009633AC" w:rsidRDefault="009633AC" w:rsidP="009633AC">
      <w:pPr>
        <w:pStyle w:val="ProspectusCont3"/>
        <w:rPr>
          <w:lang w:val="en-US"/>
        </w:rPr>
      </w:pPr>
      <w:r>
        <w:rPr>
          <w:lang w:val="en-US"/>
        </w:rPr>
        <w:t>On October 4, 2023, the Corporation announced that m</w:t>
      </w:r>
      <w:r w:rsidRPr="008F6866">
        <w:rPr>
          <w:lang w:val="en-US"/>
        </w:rPr>
        <w:t>obili</w:t>
      </w:r>
      <w:r>
        <w:rPr>
          <w:lang w:val="en-US"/>
        </w:rPr>
        <w:t>z</w:t>
      </w:r>
      <w:r w:rsidRPr="008F6866">
        <w:rPr>
          <w:lang w:val="en-US"/>
        </w:rPr>
        <w:t xml:space="preserve">ation activities </w:t>
      </w:r>
      <w:r>
        <w:rPr>
          <w:lang w:val="en-US"/>
        </w:rPr>
        <w:t>were</w:t>
      </w:r>
      <w:r w:rsidRPr="008F6866">
        <w:rPr>
          <w:lang w:val="en-US"/>
        </w:rPr>
        <w:t xml:space="preserve"> underway with procurement of all key long lead items completed.</w:t>
      </w:r>
      <w:r>
        <w:rPr>
          <w:lang w:val="en-US"/>
        </w:rPr>
        <w:t xml:space="preserve"> </w:t>
      </w:r>
      <w:r w:rsidRPr="008F6866">
        <w:rPr>
          <w:lang w:val="en-US"/>
        </w:rPr>
        <w:t xml:space="preserve">Delivery of the first containers to the Nalunaq site took place on September 13, 2023. Rehabilitation activities at </w:t>
      </w:r>
      <w:r>
        <w:rPr>
          <w:lang w:val="en-US"/>
        </w:rPr>
        <w:t xml:space="preserve">the </w:t>
      </w:r>
      <w:r w:rsidRPr="008F6866">
        <w:rPr>
          <w:lang w:val="en-US"/>
        </w:rPr>
        <w:t>Nalunaq</w:t>
      </w:r>
      <w:r>
        <w:rPr>
          <w:lang w:val="en-US"/>
        </w:rPr>
        <w:t xml:space="preserve"> Property</w:t>
      </w:r>
      <w:r w:rsidRPr="008F6866">
        <w:rPr>
          <w:lang w:val="en-US"/>
        </w:rPr>
        <w:t xml:space="preserve"> </w:t>
      </w:r>
      <w:r>
        <w:rPr>
          <w:lang w:val="en-US"/>
        </w:rPr>
        <w:t>were to</w:t>
      </w:r>
      <w:r w:rsidRPr="008F6866">
        <w:rPr>
          <w:lang w:val="en-US"/>
        </w:rPr>
        <w:t xml:space="preserve"> start during the first week of October 2023.</w:t>
      </w:r>
    </w:p>
    <w:p w14:paraId="1AEDA1F6" w14:textId="77777777" w:rsidR="009633AC" w:rsidRDefault="009633AC" w:rsidP="009633AC">
      <w:pPr>
        <w:pStyle w:val="ProspectusCont3"/>
        <w:rPr>
          <w:lang w:val="en-US"/>
        </w:rPr>
      </w:pPr>
      <w:r>
        <w:rPr>
          <w:lang w:val="en-US"/>
        </w:rPr>
        <w:t xml:space="preserve">On October 5, 2023, the Corporation </w:t>
      </w:r>
      <w:r w:rsidRPr="008F6866">
        <w:rPr>
          <w:lang w:val="en-US"/>
        </w:rPr>
        <w:t>engaged</w:t>
      </w:r>
      <w:r>
        <w:rPr>
          <w:lang w:val="en-US"/>
        </w:rPr>
        <w:t xml:space="preserve"> </w:t>
      </w:r>
      <w:r w:rsidRPr="008F6866">
        <w:rPr>
          <w:lang w:val="en-US"/>
        </w:rPr>
        <w:t>Fossar and made changes to the existing arrangement with</w:t>
      </w:r>
      <w:r>
        <w:rPr>
          <w:lang w:val="en-US"/>
        </w:rPr>
        <w:t xml:space="preserve"> </w:t>
      </w:r>
      <w:r w:rsidRPr="008F6866">
        <w:rPr>
          <w:lang w:val="en-US"/>
        </w:rPr>
        <w:t>Landsbankinn to provide certain market-making services in respect of</w:t>
      </w:r>
      <w:r>
        <w:rPr>
          <w:lang w:val="en-US"/>
        </w:rPr>
        <w:t xml:space="preserve"> </w:t>
      </w:r>
      <w:r w:rsidRPr="008F6866">
        <w:rPr>
          <w:lang w:val="en-US"/>
        </w:rPr>
        <w:t>Amaroq's Icelandic depositary receipts (the "</w:t>
      </w:r>
      <w:r w:rsidRPr="008F6866">
        <w:rPr>
          <w:b/>
          <w:bCs/>
          <w:lang w:val="en-US"/>
        </w:rPr>
        <w:t>Depositary Receipts</w:t>
      </w:r>
      <w:r w:rsidRPr="008F6866">
        <w:rPr>
          <w:lang w:val="en-US"/>
        </w:rPr>
        <w:t>") listed on the Nasdaq Iceland to support trading in Depositary Receipts by facilitating and ensuring effective and trans</w:t>
      </w:r>
      <w:r>
        <w:rPr>
          <w:lang w:val="en-US"/>
        </w:rPr>
        <w:t>p</w:t>
      </w:r>
      <w:r w:rsidRPr="008F6866">
        <w:rPr>
          <w:lang w:val="en-US"/>
        </w:rPr>
        <w:t>arent price discovery.</w:t>
      </w:r>
      <w:r>
        <w:rPr>
          <w:lang w:val="en-US"/>
        </w:rPr>
        <w:t xml:space="preserve"> The Corporation also announced that the </w:t>
      </w:r>
      <w:r w:rsidRPr="008F6866">
        <w:rPr>
          <w:lang w:val="en-US"/>
        </w:rPr>
        <w:t xml:space="preserve">market making agreement between </w:t>
      </w:r>
      <w:r>
        <w:rPr>
          <w:lang w:val="en-US"/>
        </w:rPr>
        <w:t>the Corporation</w:t>
      </w:r>
      <w:r w:rsidRPr="008F6866">
        <w:rPr>
          <w:lang w:val="en-US"/>
        </w:rPr>
        <w:t xml:space="preserve"> and Arion Banki hf.</w:t>
      </w:r>
      <w:r>
        <w:rPr>
          <w:lang w:val="en-US"/>
        </w:rPr>
        <w:t xml:space="preserve"> ("</w:t>
      </w:r>
      <w:r w:rsidRPr="00E072F3">
        <w:rPr>
          <w:b/>
          <w:bCs/>
          <w:lang w:val="en-US"/>
        </w:rPr>
        <w:t>Arion</w:t>
      </w:r>
      <w:r>
        <w:rPr>
          <w:lang w:val="en-US"/>
        </w:rPr>
        <w:t>")</w:t>
      </w:r>
      <w:r w:rsidRPr="008F6866">
        <w:rPr>
          <w:lang w:val="en-US"/>
        </w:rPr>
        <w:t xml:space="preserve"> dated October 31, 2022 entered into to facilitate trading</w:t>
      </w:r>
      <w:r>
        <w:rPr>
          <w:lang w:val="en-US"/>
        </w:rPr>
        <w:t xml:space="preserve"> </w:t>
      </w:r>
      <w:r w:rsidRPr="008F6866">
        <w:rPr>
          <w:lang w:val="en-US"/>
        </w:rPr>
        <w:t xml:space="preserve">in </w:t>
      </w:r>
      <w:r>
        <w:rPr>
          <w:lang w:val="en-US"/>
        </w:rPr>
        <w:t>the Corporation's</w:t>
      </w:r>
      <w:r w:rsidRPr="008F6866">
        <w:rPr>
          <w:lang w:val="en-US"/>
        </w:rPr>
        <w:t xml:space="preserve"> Depositary Receipts on First North</w:t>
      </w:r>
      <w:r>
        <w:rPr>
          <w:lang w:val="en-US"/>
        </w:rPr>
        <w:t xml:space="preserve"> Iceland</w:t>
      </w:r>
      <w:r w:rsidRPr="008F6866">
        <w:rPr>
          <w:lang w:val="en-US"/>
        </w:rPr>
        <w:t xml:space="preserve"> will not be renewed</w:t>
      </w:r>
      <w:r>
        <w:rPr>
          <w:lang w:val="en-US"/>
        </w:rPr>
        <w:t>.</w:t>
      </w:r>
    </w:p>
    <w:p w14:paraId="296B1AA9" w14:textId="77777777" w:rsidR="009633AC" w:rsidRDefault="009633AC" w:rsidP="009633AC">
      <w:pPr>
        <w:pStyle w:val="ProspectusCont3"/>
        <w:rPr>
          <w:lang w:val="en-US"/>
        </w:rPr>
      </w:pPr>
      <w:r>
        <w:rPr>
          <w:lang w:val="en-US"/>
        </w:rPr>
        <w:t xml:space="preserve">On October 11, 2023, the Corporation announced the </w:t>
      </w:r>
      <w:r w:rsidRPr="00827186">
        <w:rPr>
          <w:lang w:val="en-US"/>
        </w:rPr>
        <w:t>results of its 2023 exploration drilling programme at</w:t>
      </w:r>
      <w:r>
        <w:rPr>
          <w:lang w:val="en-US"/>
        </w:rPr>
        <w:t xml:space="preserve"> the</w:t>
      </w:r>
      <w:r w:rsidRPr="00827186">
        <w:rPr>
          <w:lang w:val="en-US"/>
        </w:rPr>
        <w:t xml:space="preserve"> Nalunaq</w:t>
      </w:r>
      <w:r>
        <w:rPr>
          <w:lang w:val="en-US"/>
        </w:rPr>
        <w:t xml:space="preserve"> Property from </w:t>
      </w:r>
      <w:r w:rsidRPr="007E469F">
        <w:rPr>
          <w:lang w:val="en-US"/>
        </w:rPr>
        <w:t>1,731.43m of diamond core drilling across six targeted</w:t>
      </w:r>
      <w:r>
        <w:rPr>
          <w:lang w:val="en-US"/>
        </w:rPr>
        <w:t xml:space="preserve"> </w:t>
      </w:r>
      <w:r w:rsidRPr="007E469F">
        <w:rPr>
          <w:lang w:val="en-US"/>
        </w:rPr>
        <w:t>mountain drillholes</w:t>
      </w:r>
      <w:r>
        <w:rPr>
          <w:lang w:val="en-US"/>
        </w:rPr>
        <w:t>, including a h</w:t>
      </w:r>
      <w:r w:rsidRPr="007E469F">
        <w:rPr>
          <w:lang w:val="en-US"/>
        </w:rPr>
        <w:t>igh grade intersect of 182g/t Au over 0.69m</w:t>
      </w:r>
      <w:r>
        <w:rPr>
          <w:lang w:val="en-US"/>
        </w:rPr>
        <w:t xml:space="preserve"> and the discovery of a new high-grade vein, 75m above the main vein, with a grade intersect of 256 g/t Au over 0.5m</w:t>
      </w:r>
      <w:r w:rsidRPr="00827186">
        <w:rPr>
          <w:lang w:val="en-US"/>
        </w:rPr>
        <w:t>.</w:t>
      </w:r>
    </w:p>
    <w:p w14:paraId="0CEA7E88" w14:textId="77777777" w:rsidR="009633AC" w:rsidRDefault="009633AC" w:rsidP="009633AC">
      <w:pPr>
        <w:pStyle w:val="ProspectusCont3"/>
        <w:rPr>
          <w:lang w:val="en-US"/>
        </w:rPr>
      </w:pPr>
      <w:r w:rsidRPr="00ED5B46">
        <w:rPr>
          <w:lang w:val="en-US"/>
        </w:rPr>
        <w:t>On October 13, 2023, Joan Plant was appointed as Executive Vice President and Anna Solotova, VP Corporate Legal, was also appointed as Corporate Secretary.</w:t>
      </w:r>
    </w:p>
    <w:p w14:paraId="1B04DAEC" w14:textId="77777777" w:rsidR="009633AC" w:rsidRDefault="009633AC" w:rsidP="009633AC">
      <w:pPr>
        <w:pStyle w:val="ProspectusCont3"/>
        <w:rPr>
          <w:lang w:val="en-US"/>
        </w:rPr>
      </w:pPr>
      <w:r>
        <w:rPr>
          <w:lang w:val="en-US"/>
        </w:rPr>
        <w:t xml:space="preserve">On October 31, 2023, the Corporation was granted </w:t>
      </w:r>
      <w:r w:rsidRPr="00D11407">
        <w:rPr>
          <w:lang w:val="en-US"/>
        </w:rPr>
        <w:t>two new mineral exploration</w:t>
      </w:r>
      <w:r>
        <w:rPr>
          <w:lang w:val="en-US"/>
        </w:rPr>
        <w:t xml:space="preserve"> </w:t>
      </w:r>
      <w:r w:rsidRPr="00D11407">
        <w:rPr>
          <w:lang w:val="en-US"/>
        </w:rPr>
        <w:t>licences</w:t>
      </w:r>
      <w:r>
        <w:rPr>
          <w:lang w:val="en-US"/>
        </w:rPr>
        <w:t xml:space="preserve"> totaling 1,916.81km</w:t>
      </w:r>
      <w:r>
        <w:rPr>
          <w:vertAlign w:val="superscript"/>
          <w:lang w:val="en-US"/>
        </w:rPr>
        <w:t>2</w:t>
      </w:r>
      <w:r w:rsidRPr="00D11407">
        <w:rPr>
          <w:lang w:val="en-US"/>
        </w:rPr>
        <w:t xml:space="preserve"> by the Government of Greenland.</w:t>
      </w:r>
      <w:r>
        <w:rPr>
          <w:lang w:val="en-US"/>
        </w:rPr>
        <w:t xml:space="preserve"> </w:t>
      </w:r>
      <w:r w:rsidRPr="00D11407">
        <w:rPr>
          <w:lang w:val="en-US"/>
        </w:rPr>
        <w:t>The two new</w:t>
      </w:r>
      <w:r>
        <w:rPr>
          <w:lang w:val="en-US"/>
        </w:rPr>
        <w:t xml:space="preserve"> </w:t>
      </w:r>
      <w:r w:rsidRPr="00D11407">
        <w:rPr>
          <w:lang w:val="en-US"/>
        </w:rPr>
        <w:t>licences comprise</w:t>
      </w:r>
      <w:r>
        <w:rPr>
          <w:lang w:val="en-US"/>
        </w:rPr>
        <w:t>d</w:t>
      </w:r>
      <w:r w:rsidRPr="00D11407">
        <w:rPr>
          <w:lang w:val="en-US"/>
        </w:rPr>
        <w:t>:</w:t>
      </w:r>
      <w:r>
        <w:rPr>
          <w:lang w:val="en-US"/>
        </w:rPr>
        <w:t xml:space="preserve"> (i)</w:t>
      </w:r>
      <w:r w:rsidRPr="00D11407">
        <w:rPr>
          <w:lang w:val="en-US"/>
        </w:rPr>
        <w:t xml:space="preserve"> Nunarsuit – connecting the copper prospectivity seen at the Sava licence to the</w:t>
      </w:r>
      <w:r>
        <w:rPr>
          <w:lang w:val="en-US"/>
        </w:rPr>
        <w:t xml:space="preserve"> </w:t>
      </w:r>
      <w:r w:rsidRPr="00D11407">
        <w:rPr>
          <w:lang w:val="en-US"/>
        </w:rPr>
        <w:t>historical Josva copper mine in the Kobbermineburgt licence in the West and also</w:t>
      </w:r>
      <w:r>
        <w:rPr>
          <w:lang w:val="en-US"/>
        </w:rPr>
        <w:t xml:space="preserve"> </w:t>
      </w:r>
      <w:r w:rsidRPr="00D11407">
        <w:rPr>
          <w:lang w:val="en-US"/>
        </w:rPr>
        <w:t>incorporating the Nunarsuit intrusion, an unexplored Rare Earth Elements (</w:t>
      </w:r>
      <w:r>
        <w:rPr>
          <w:lang w:val="en-US"/>
        </w:rPr>
        <w:t>"</w:t>
      </w:r>
      <w:r w:rsidRPr="00D11407">
        <w:rPr>
          <w:b/>
          <w:bCs/>
          <w:lang w:val="en-US"/>
        </w:rPr>
        <w:t>REE</w:t>
      </w:r>
      <w:r>
        <w:rPr>
          <w:lang w:val="en-US"/>
        </w:rPr>
        <w:t>"</w:t>
      </w:r>
      <w:r w:rsidRPr="00D11407">
        <w:rPr>
          <w:lang w:val="en-US"/>
        </w:rPr>
        <w:t>)</w:t>
      </w:r>
      <w:r>
        <w:rPr>
          <w:lang w:val="en-US"/>
        </w:rPr>
        <w:t xml:space="preserve"> </w:t>
      </w:r>
      <w:r w:rsidRPr="00D11407">
        <w:rPr>
          <w:lang w:val="en-US"/>
        </w:rPr>
        <w:t>district within the Gardar Province, already known to host significant REE and other</w:t>
      </w:r>
      <w:r>
        <w:rPr>
          <w:lang w:val="en-US"/>
        </w:rPr>
        <w:t xml:space="preserve"> </w:t>
      </w:r>
      <w:r w:rsidRPr="00D11407">
        <w:rPr>
          <w:lang w:val="en-US"/>
        </w:rPr>
        <w:t>critical element potential; and</w:t>
      </w:r>
      <w:r>
        <w:rPr>
          <w:lang w:val="en-US"/>
        </w:rPr>
        <w:t xml:space="preserve"> (ii)</w:t>
      </w:r>
      <w:r w:rsidRPr="00D11407">
        <w:rPr>
          <w:lang w:val="en-US"/>
        </w:rPr>
        <w:t xml:space="preserve"> Paatusoq West – covering the western extension of the Paatusaq Gardar intrusion,</w:t>
      </w:r>
      <w:r>
        <w:rPr>
          <w:lang w:val="en-US"/>
        </w:rPr>
        <w:t xml:space="preserve"> </w:t>
      </w:r>
      <w:r w:rsidRPr="00D11407">
        <w:rPr>
          <w:lang w:val="en-US"/>
        </w:rPr>
        <w:t>prospective for REE and other critical metals.</w:t>
      </w:r>
      <w:r>
        <w:rPr>
          <w:lang w:val="en-US"/>
        </w:rPr>
        <w:t xml:space="preserve"> </w:t>
      </w:r>
    </w:p>
    <w:p w14:paraId="244F51B6" w14:textId="77777777" w:rsidR="009633AC" w:rsidRDefault="009633AC" w:rsidP="009633AC">
      <w:pPr>
        <w:pStyle w:val="ProspectusCont3"/>
        <w:rPr>
          <w:lang w:val="en-US"/>
        </w:rPr>
      </w:pPr>
      <w:r>
        <w:rPr>
          <w:lang w:val="en-US"/>
        </w:rPr>
        <w:t xml:space="preserve">On November 13, 2023, </w:t>
      </w:r>
      <w:r w:rsidRPr="00D11407">
        <w:rPr>
          <w:lang w:val="en-US"/>
        </w:rPr>
        <w:t xml:space="preserve">ERM International Group Limited </w:t>
      </w:r>
      <w:r>
        <w:rPr>
          <w:lang w:val="en-US"/>
        </w:rPr>
        <w:t xml:space="preserve">was appointed </w:t>
      </w:r>
      <w:r w:rsidRPr="00D11407">
        <w:rPr>
          <w:lang w:val="en-US"/>
        </w:rPr>
        <w:t xml:space="preserve">to conduct a strategic review of </w:t>
      </w:r>
      <w:r>
        <w:rPr>
          <w:lang w:val="en-US"/>
        </w:rPr>
        <w:t>the Corporation's</w:t>
      </w:r>
      <w:r w:rsidRPr="00D11407">
        <w:rPr>
          <w:lang w:val="en-US"/>
        </w:rPr>
        <w:t xml:space="preserve"> approach to</w:t>
      </w:r>
      <w:r>
        <w:rPr>
          <w:lang w:val="en-US"/>
        </w:rPr>
        <w:t xml:space="preserve"> </w:t>
      </w:r>
      <w:r w:rsidRPr="00D11407">
        <w:rPr>
          <w:lang w:val="en-US"/>
        </w:rPr>
        <w:t>sustainability management and performance.</w:t>
      </w:r>
    </w:p>
    <w:p w14:paraId="11FE7745" w14:textId="77777777" w:rsidR="009633AC" w:rsidRDefault="009633AC" w:rsidP="009633AC">
      <w:pPr>
        <w:pStyle w:val="ProspectusCont3"/>
        <w:rPr>
          <w:lang w:val="en-US"/>
        </w:rPr>
      </w:pPr>
      <w:r>
        <w:rPr>
          <w:lang w:val="en-US"/>
        </w:rPr>
        <w:t>On November 14, 2023, the Corporation announced updates to its development workplan and the commencement of mine rehabilitation activities at the Nalunaq Property.</w:t>
      </w:r>
    </w:p>
    <w:p w14:paraId="6A323A1D" w14:textId="77777777" w:rsidR="009633AC" w:rsidRDefault="009633AC" w:rsidP="009633AC">
      <w:pPr>
        <w:pStyle w:val="ProspectusCont3"/>
        <w:rPr>
          <w:lang w:val="en-US"/>
        </w:rPr>
      </w:pPr>
      <w:r>
        <w:rPr>
          <w:lang w:val="en-US"/>
        </w:rPr>
        <w:t>On December 19, 2023, the Corporation announced the Nanoq geophysical interpretation results and an update on its exploration portfolio. F</w:t>
      </w:r>
      <w:r w:rsidRPr="00F62410">
        <w:rPr>
          <w:lang w:val="en-US"/>
        </w:rPr>
        <w:t>urther examination of its 2022</w:t>
      </w:r>
      <w:r>
        <w:rPr>
          <w:lang w:val="en-US"/>
        </w:rPr>
        <w:t xml:space="preserve"> </w:t>
      </w:r>
      <w:r w:rsidRPr="00F62410">
        <w:rPr>
          <w:lang w:val="en-US"/>
        </w:rPr>
        <w:t xml:space="preserve">geophysics data by ALS Goldspot Discoveries Ltd expanded prospectivity of </w:t>
      </w:r>
      <w:r>
        <w:rPr>
          <w:lang w:val="en-US"/>
        </w:rPr>
        <w:t>the Nanoq project</w:t>
      </w:r>
      <w:r w:rsidRPr="00F62410">
        <w:rPr>
          <w:lang w:val="en-US"/>
        </w:rPr>
        <w:t>. The</w:t>
      </w:r>
      <w:r>
        <w:rPr>
          <w:lang w:val="en-US"/>
        </w:rPr>
        <w:t xml:space="preserve"> </w:t>
      </w:r>
      <w:r w:rsidRPr="00F62410">
        <w:rPr>
          <w:lang w:val="en-US"/>
        </w:rPr>
        <w:t>Co</w:t>
      </w:r>
      <w:r>
        <w:rPr>
          <w:lang w:val="en-US"/>
        </w:rPr>
        <w:t>rporation</w:t>
      </w:r>
      <w:r w:rsidRPr="00F62410">
        <w:rPr>
          <w:lang w:val="en-US"/>
        </w:rPr>
        <w:t xml:space="preserve"> also announce</w:t>
      </w:r>
      <w:r>
        <w:rPr>
          <w:lang w:val="en-US"/>
        </w:rPr>
        <w:t>d</w:t>
      </w:r>
      <w:r w:rsidRPr="00F62410">
        <w:rPr>
          <w:lang w:val="en-US"/>
        </w:rPr>
        <w:t xml:space="preserve"> the</w:t>
      </w:r>
      <w:r>
        <w:rPr>
          <w:lang w:val="en-US"/>
        </w:rPr>
        <w:t xml:space="preserve"> c</w:t>
      </w:r>
      <w:r w:rsidRPr="00F62410">
        <w:rPr>
          <w:lang w:val="en-US"/>
        </w:rPr>
        <w:t>ompletion of its 2023 geophysics exploration programme.</w:t>
      </w:r>
    </w:p>
    <w:p w14:paraId="23EC5AE4" w14:textId="77777777" w:rsidR="009633AC" w:rsidRPr="00320924" w:rsidRDefault="009633AC" w:rsidP="009633AC">
      <w:pPr>
        <w:pStyle w:val="ProspectusL3"/>
      </w:pPr>
      <w:r w:rsidRPr="00320924">
        <w:lastRenderedPageBreak/>
        <w:t>2022</w:t>
      </w:r>
    </w:p>
    <w:p w14:paraId="3D67B1A6" w14:textId="77777777" w:rsidR="009633AC" w:rsidRDefault="009633AC" w:rsidP="009633AC">
      <w:pPr>
        <w:pStyle w:val="ProspectusCont3"/>
        <w:rPr>
          <w:lang w:val="en-US"/>
        </w:rPr>
      </w:pPr>
      <w:r>
        <w:rPr>
          <w:lang w:val="en-US"/>
        </w:rPr>
        <w:t xml:space="preserve">Effective February 2, 2022, the Corporation changed its auditors from </w:t>
      </w:r>
      <w:r w:rsidRPr="00BA497B">
        <w:rPr>
          <w:lang w:val="en-US"/>
        </w:rPr>
        <w:t>PricewaterhouseCoopers LLP to BDO</w:t>
      </w:r>
      <w:r>
        <w:rPr>
          <w:lang w:val="en-US"/>
        </w:rPr>
        <w:t xml:space="preserve"> </w:t>
      </w:r>
      <w:r w:rsidRPr="00BA497B">
        <w:rPr>
          <w:lang w:val="en-US"/>
        </w:rPr>
        <w:t>Canada LLP</w:t>
      </w:r>
      <w:r>
        <w:rPr>
          <w:lang w:val="en-US"/>
        </w:rPr>
        <w:t>.</w:t>
      </w:r>
    </w:p>
    <w:p w14:paraId="4E16F875" w14:textId="77777777" w:rsidR="009633AC" w:rsidRDefault="009633AC" w:rsidP="009633AC">
      <w:pPr>
        <w:pStyle w:val="ProspectusCont3"/>
        <w:rPr>
          <w:lang w:val="en-US"/>
        </w:rPr>
      </w:pPr>
      <w:r>
        <w:rPr>
          <w:lang w:val="en-US"/>
        </w:rPr>
        <w:t xml:space="preserve">On April 4, 2022, the Corporation announced the </w:t>
      </w:r>
      <w:r w:rsidRPr="00BA497B">
        <w:rPr>
          <w:lang w:val="en-US"/>
        </w:rPr>
        <w:t>results</w:t>
      </w:r>
      <w:r>
        <w:rPr>
          <w:lang w:val="en-US"/>
        </w:rPr>
        <w:t xml:space="preserve"> </w:t>
      </w:r>
      <w:r w:rsidRPr="00BA497B">
        <w:rPr>
          <w:lang w:val="en-US"/>
        </w:rPr>
        <w:t xml:space="preserve">of its 2021 exploration drilling campaign at the Nalunaq </w:t>
      </w:r>
      <w:r>
        <w:rPr>
          <w:lang w:val="en-US"/>
        </w:rPr>
        <w:t xml:space="preserve">Property from 51 drillholes, </w:t>
      </w:r>
      <w:r w:rsidRPr="001B22C8">
        <w:rPr>
          <w:lang w:val="en-US"/>
        </w:rPr>
        <w:t>primarily targeting the newly defined Valley</w:t>
      </w:r>
      <w:r>
        <w:rPr>
          <w:lang w:val="en-US"/>
        </w:rPr>
        <w:t xml:space="preserve"> </w:t>
      </w:r>
      <w:r w:rsidRPr="001B22C8">
        <w:rPr>
          <w:lang w:val="en-US"/>
        </w:rPr>
        <w:t xml:space="preserve">Block predicted by </w:t>
      </w:r>
      <w:r>
        <w:rPr>
          <w:lang w:val="en-US"/>
        </w:rPr>
        <w:t>the Corporation</w:t>
      </w:r>
      <w:r w:rsidRPr="001B22C8">
        <w:rPr>
          <w:lang w:val="en-US"/>
        </w:rPr>
        <w:t>'s dolerite dyke structural model.</w:t>
      </w:r>
    </w:p>
    <w:p w14:paraId="62468176" w14:textId="77777777" w:rsidR="009633AC" w:rsidRDefault="009633AC" w:rsidP="009633AC">
      <w:pPr>
        <w:pStyle w:val="ProspectusCont3"/>
        <w:rPr>
          <w:lang w:val="en-US"/>
        </w:rPr>
      </w:pPr>
      <w:r>
        <w:rPr>
          <w:lang w:val="en-US"/>
        </w:rPr>
        <w:t xml:space="preserve">On April 12, 2022, the Corporation announced that its </w:t>
      </w:r>
      <w:r w:rsidRPr="00A47A80">
        <w:rPr>
          <w:lang w:val="en-US"/>
        </w:rPr>
        <w:t xml:space="preserve">2021 Sava </w:t>
      </w:r>
      <w:r>
        <w:rPr>
          <w:lang w:val="en-US"/>
        </w:rPr>
        <w:t>e</w:t>
      </w:r>
      <w:r w:rsidRPr="00A47A80">
        <w:rPr>
          <w:lang w:val="en-US"/>
        </w:rPr>
        <w:t xml:space="preserve">xploration </w:t>
      </w:r>
      <w:r>
        <w:rPr>
          <w:lang w:val="en-US"/>
        </w:rPr>
        <w:t>r</w:t>
      </w:r>
      <w:r w:rsidRPr="00A47A80">
        <w:rPr>
          <w:lang w:val="en-US"/>
        </w:rPr>
        <w:t xml:space="preserve">esults </w:t>
      </w:r>
      <w:r>
        <w:rPr>
          <w:lang w:val="en-US"/>
        </w:rPr>
        <w:t xml:space="preserve">indicated </w:t>
      </w:r>
      <w:r w:rsidRPr="00A47A80">
        <w:rPr>
          <w:lang w:val="en-US"/>
        </w:rPr>
        <w:t xml:space="preserve">iron oxide, copper, gold style </w:t>
      </w:r>
      <w:r>
        <w:rPr>
          <w:lang w:val="en-US"/>
        </w:rPr>
        <w:t>mineralization.</w:t>
      </w:r>
    </w:p>
    <w:p w14:paraId="45E1675B" w14:textId="77777777" w:rsidR="009633AC" w:rsidRDefault="009633AC" w:rsidP="009633AC">
      <w:pPr>
        <w:pStyle w:val="ProspectusCont3"/>
        <w:rPr>
          <w:lang w:val="en-US"/>
        </w:rPr>
      </w:pPr>
      <w:r>
        <w:rPr>
          <w:lang w:val="en-US"/>
        </w:rPr>
        <w:t xml:space="preserve">On April 28, 2022, the Corporation appointed </w:t>
      </w:r>
      <w:r w:rsidRPr="00BA497B">
        <w:rPr>
          <w:lang w:val="en-US"/>
        </w:rPr>
        <w:t xml:space="preserve">Liane Kelly as </w:t>
      </w:r>
      <w:r>
        <w:rPr>
          <w:lang w:val="en-US"/>
        </w:rPr>
        <w:t>s</w:t>
      </w:r>
      <w:r w:rsidRPr="00BA497B">
        <w:rPr>
          <w:lang w:val="en-US"/>
        </w:rPr>
        <w:t>enior</w:t>
      </w:r>
      <w:r>
        <w:rPr>
          <w:lang w:val="en-US"/>
        </w:rPr>
        <w:t xml:space="preserve"> i</w:t>
      </w:r>
      <w:r w:rsidRPr="00BA497B">
        <w:rPr>
          <w:lang w:val="en-US"/>
        </w:rPr>
        <w:t xml:space="preserve">ndependent </w:t>
      </w:r>
      <w:r>
        <w:rPr>
          <w:lang w:val="en-US"/>
        </w:rPr>
        <w:t>d</w:t>
      </w:r>
      <w:r w:rsidRPr="00BA497B">
        <w:rPr>
          <w:lang w:val="en-US"/>
        </w:rPr>
        <w:t>irector</w:t>
      </w:r>
      <w:r>
        <w:rPr>
          <w:lang w:val="en-US"/>
        </w:rPr>
        <w:t>.</w:t>
      </w:r>
    </w:p>
    <w:p w14:paraId="7346DF94" w14:textId="77777777" w:rsidR="009633AC" w:rsidRDefault="009633AC" w:rsidP="009633AC">
      <w:pPr>
        <w:pStyle w:val="ProspectusCont3"/>
        <w:rPr>
          <w:lang w:val="en-US"/>
        </w:rPr>
      </w:pPr>
      <w:r>
        <w:rPr>
          <w:lang w:val="en-US"/>
        </w:rPr>
        <w:t xml:space="preserve">On May 9, 2022, the Corporation announced the </w:t>
      </w:r>
      <w:r w:rsidRPr="00BA497B">
        <w:rPr>
          <w:lang w:val="en-US"/>
        </w:rPr>
        <w:t>results</w:t>
      </w:r>
      <w:r>
        <w:rPr>
          <w:lang w:val="en-US"/>
        </w:rPr>
        <w:t xml:space="preserve"> </w:t>
      </w:r>
      <w:r w:rsidRPr="00BA497B">
        <w:rPr>
          <w:lang w:val="en-US"/>
        </w:rPr>
        <w:t>of its 2021 exploration campaign across the Vagar licence</w:t>
      </w:r>
      <w:r>
        <w:rPr>
          <w:lang w:val="en-US"/>
        </w:rPr>
        <w:t>, which m</w:t>
      </w:r>
      <w:r w:rsidRPr="006847DD">
        <w:rPr>
          <w:lang w:val="en-US"/>
        </w:rPr>
        <w:t xml:space="preserve">aterially </w:t>
      </w:r>
      <w:r>
        <w:rPr>
          <w:lang w:val="en-US"/>
        </w:rPr>
        <w:t>i</w:t>
      </w:r>
      <w:r w:rsidRPr="006847DD">
        <w:rPr>
          <w:lang w:val="en-US"/>
        </w:rPr>
        <w:t>ncrease</w:t>
      </w:r>
      <w:r>
        <w:rPr>
          <w:lang w:val="en-US"/>
        </w:rPr>
        <w:t>d</w:t>
      </w:r>
      <w:r w:rsidRPr="006847DD">
        <w:rPr>
          <w:lang w:val="en-US"/>
        </w:rPr>
        <w:t xml:space="preserve"> the Vagar Ridge Gold Discovery with</w:t>
      </w:r>
      <w:r>
        <w:rPr>
          <w:lang w:val="en-US"/>
        </w:rPr>
        <w:t xml:space="preserve"> s</w:t>
      </w:r>
      <w:r w:rsidRPr="006847DD">
        <w:rPr>
          <w:lang w:val="en-US"/>
        </w:rPr>
        <w:t xml:space="preserve">ample </w:t>
      </w:r>
      <w:r>
        <w:rPr>
          <w:lang w:val="en-US"/>
        </w:rPr>
        <w:t>r</w:t>
      </w:r>
      <w:r w:rsidRPr="006847DD">
        <w:rPr>
          <w:lang w:val="en-US"/>
        </w:rPr>
        <w:t xml:space="preserve">esults of up to 86.7g/t </w:t>
      </w:r>
      <w:r>
        <w:rPr>
          <w:lang w:val="en-US"/>
        </w:rPr>
        <w:t>g</w:t>
      </w:r>
      <w:r w:rsidRPr="006847DD">
        <w:rPr>
          <w:lang w:val="en-US"/>
        </w:rPr>
        <w:t>old</w:t>
      </w:r>
      <w:r>
        <w:rPr>
          <w:lang w:val="en-US"/>
        </w:rPr>
        <w:t>.</w:t>
      </w:r>
    </w:p>
    <w:p w14:paraId="00FC2296" w14:textId="77777777" w:rsidR="009633AC" w:rsidRDefault="009633AC" w:rsidP="009633AC">
      <w:pPr>
        <w:pStyle w:val="ProspectusCont3"/>
        <w:rPr>
          <w:lang w:val="en-US"/>
        </w:rPr>
      </w:pPr>
      <w:r>
        <w:rPr>
          <w:lang w:val="en-US"/>
        </w:rPr>
        <w:t xml:space="preserve">On June 10, 2022, the Corporation signed </w:t>
      </w:r>
      <w:r w:rsidRPr="006847DD">
        <w:rPr>
          <w:lang w:val="en-US"/>
        </w:rPr>
        <w:t>a non-binding heads of terms with ACAM LP ("</w:t>
      </w:r>
      <w:r w:rsidRPr="006847DD">
        <w:rPr>
          <w:b/>
          <w:bCs/>
          <w:lang w:val="en-US"/>
        </w:rPr>
        <w:t>ACAM</w:t>
      </w:r>
      <w:r w:rsidRPr="006847DD">
        <w:rPr>
          <w:lang w:val="en-US"/>
        </w:rPr>
        <w:t>") to establish a special purpose vehicle</w:t>
      </w:r>
      <w:r>
        <w:rPr>
          <w:lang w:val="en-US"/>
        </w:rPr>
        <w:t xml:space="preserve"> </w:t>
      </w:r>
      <w:r w:rsidRPr="006847DD">
        <w:rPr>
          <w:lang w:val="en-US"/>
        </w:rPr>
        <w:t>(the "</w:t>
      </w:r>
      <w:r w:rsidRPr="006847DD">
        <w:rPr>
          <w:b/>
          <w:bCs/>
          <w:lang w:val="en-US"/>
        </w:rPr>
        <w:t>SPV</w:t>
      </w:r>
      <w:r w:rsidRPr="006847DD">
        <w:rPr>
          <w:lang w:val="en-US"/>
        </w:rPr>
        <w:t>") and create a joint venture (the "</w:t>
      </w:r>
      <w:r w:rsidRPr="006847DD">
        <w:rPr>
          <w:b/>
          <w:bCs/>
          <w:lang w:val="en-US"/>
        </w:rPr>
        <w:t>JV</w:t>
      </w:r>
      <w:r w:rsidRPr="006847DD">
        <w:rPr>
          <w:lang w:val="en-US"/>
        </w:rPr>
        <w:t>") for the exploration and development of</w:t>
      </w:r>
      <w:r>
        <w:rPr>
          <w:lang w:val="en-US"/>
        </w:rPr>
        <w:t xml:space="preserve"> </w:t>
      </w:r>
      <w:r w:rsidRPr="006847DD">
        <w:rPr>
          <w:lang w:val="en-US"/>
        </w:rPr>
        <w:t xml:space="preserve">its </w:t>
      </w:r>
      <w:r>
        <w:rPr>
          <w:lang w:val="en-US"/>
        </w:rPr>
        <w:t>s</w:t>
      </w:r>
      <w:r w:rsidRPr="006847DD">
        <w:rPr>
          <w:lang w:val="en-US"/>
        </w:rPr>
        <w:t xml:space="preserve">trategic </w:t>
      </w:r>
      <w:r>
        <w:rPr>
          <w:lang w:val="en-US"/>
        </w:rPr>
        <w:t>m</w:t>
      </w:r>
      <w:r w:rsidRPr="006847DD">
        <w:rPr>
          <w:lang w:val="en-US"/>
        </w:rPr>
        <w:t>ineral assets for a combined contribution of C$58.0</w:t>
      </w:r>
      <w:r>
        <w:rPr>
          <w:lang w:val="en-US"/>
        </w:rPr>
        <w:t xml:space="preserve"> </w:t>
      </w:r>
      <w:r w:rsidRPr="006847DD">
        <w:rPr>
          <w:lang w:val="en-US"/>
        </w:rPr>
        <w:t>million</w:t>
      </w:r>
      <w:r>
        <w:rPr>
          <w:lang w:val="en-US"/>
        </w:rPr>
        <w:t xml:space="preserve"> (</w:t>
      </w:r>
      <w:r w:rsidRPr="006847DD">
        <w:rPr>
          <w:lang w:val="en-US"/>
        </w:rPr>
        <w:t>£36.7 million</w:t>
      </w:r>
      <w:r>
        <w:rPr>
          <w:lang w:val="en-US"/>
        </w:rPr>
        <w:t>)</w:t>
      </w:r>
      <w:r w:rsidRPr="006847DD">
        <w:rPr>
          <w:lang w:val="en-US"/>
        </w:rPr>
        <w:t>.</w:t>
      </w:r>
      <w:r>
        <w:rPr>
          <w:lang w:val="en-US"/>
        </w:rPr>
        <w:t xml:space="preserve"> </w:t>
      </w:r>
      <w:r w:rsidRPr="006847DD">
        <w:rPr>
          <w:lang w:val="en-US"/>
        </w:rPr>
        <w:t>Subject to negotiation of the final terms of the JV, ACAM will invest  C$28.5 million</w:t>
      </w:r>
      <w:r>
        <w:rPr>
          <w:lang w:val="en-US"/>
        </w:rPr>
        <w:t xml:space="preserve"> (</w:t>
      </w:r>
      <w:r w:rsidRPr="006847DD">
        <w:rPr>
          <w:lang w:val="en-US"/>
        </w:rPr>
        <w:t>£18.0</w:t>
      </w:r>
      <w:r>
        <w:rPr>
          <w:lang w:val="en-US"/>
        </w:rPr>
        <w:t xml:space="preserve"> </w:t>
      </w:r>
      <w:r w:rsidRPr="006847DD">
        <w:rPr>
          <w:lang w:val="en-US"/>
        </w:rPr>
        <w:t>million</w:t>
      </w:r>
      <w:r>
        <w:rPr>
          <w:lang w:val="en-US"/>
        </w:rPr>
        <w:t>)</w:t>
      </w:r>
      <w:r w:rsidRPr="006847DD">
        <w:rPr>
          <w:lang w:val="en-US"/>
        </w:rPr>
        <w:t xml:space="preserve"> in exchange for a 49% shareholding in the SPV, with </w:t>
      </w:r>
      <w:r>
        <w:rPr>
          <w:lang w:val="en-US"/>
        </w:rPr>
        <w:t xml:space="preserve">the Corporation </w:t>
      </w:r>
      <w:r w:rsidRPr="006847DD">
        <w:rPr>
          <w:lang w:val="en-US"/>
        </w:rPr>
        <w:t>holding 51%.</w:t>
      </w:r>
      <w:r>
        <w:rPr>
          <w:lang w:val="en-US"/>
        </w:rPr>
        <w:t>The Corporation</w:t>
      </w:r>
      <w:r w:rsidRPr="006847DD">
        <w:rPr>
          <w:lang w:val="en-US"/>
        </w:rPr>
        <w:t xml:space="preserve"> </w:t>
      </w:r>
      <w:r>
        <w:rPr>
          <w:lang w:val="en-US"/>
        </w:rPr>
        <w:t>was</w:t>
      </w:r>
      <w:r w:rsidRPr="006847DD">
        <w:rPr>
          <w:lang w:val="en-US"/>
        </w:rPr>
        <w:t xml:space="preserve"> expected to contribute its </w:t>
      </w:r>
      <w:r>
        <w:rPr>
          <w:lang w:val="en-US"/>
        </w:rPr>
        <w:t>s</w:t>
      </w:r>
      <w:r w:rsidRPr="006847DD">
        <w:rPr>
          <w:lang w:val="en-US"/>
        </w:rPr>
        <w:t xml:space="preserve">trategic non-precious </w:t>
      </w:r>
      <w:r>
        <w:rPr>
          <w:lang w:val="en-US"/>
        </w:rPr>
        <w:t>m</w:t>
      </w:r>
      <w:r w:rsidRPr="006847DD">
        <w:rPr>
          <w:lang w:val="en-US"/>
        </w:rPr>
        <w:t>ineral (i.e. non-</w:t>
      </w:r>
      <w:r>
        <w:rPr>
          <w:lang w:val="en-US"/>
        </w:rPr>
        <w:t xml:space="preserve"> </w:t>
      </w:r>
      <w:r w:rsidRPr="006847DD">
        <w:rPr>
          <w:lang w:val="en-US"/>
        </w:rPr>
        <w:t>gold) licences as well as a contribution in kind, valued, in aggregate, at C$29.5 million</w:t>
      </w:r>
      <w:r>
        <w:rPr>
          <w:lang w:val="en-US"/>
        </w:rPr>
        <w:t xml:space="preserve"> (</w:t>
      </w:r>
      <w:r w:rsidRPr="006847DD">
        <w:rPr>
          <w:lang w:val="en-US"/>
        </w:rPr>
        <w:t>£18.7 million</w:t>
      </w:r>
      <w:r>
        <w:rPr>
          <w:lang w:val="en-US"/>
        </w:rPr>
        <w:t xml:space="preserve">) </w:t>
      </w:r>
      <w:r w:rsidRPr="006847DD">
        <w:rPr>
          <w:lang w:val="en-US"/>
        </w:rPr>
        <w:t xml:space="preserve"> in the form of site support, logistics and overhead costs</w:t>
      </w:r>
      <w:r>
        <w:rPr>
          <w:lang w:val="en-US"/>
        </w:rPr>
        <w:t xml:space="preserve"> </w:t>
      </w:r>
      <w:r w:rsidRPr="006847DD">
        <w:rPr>
          <w:lang w:val="en-US"/>
        </w:rPr>
        <w:t>associated with utilizing its existing infrastructure in Southern Greenland to support the</w:t>
      </w:r>
      <w:r>
        <w:rPr>
          <w:lang w:val="en-US"/>
        </w:rPr>
        <w:t xml:space="preserve"> </w:t>
      </w:r>
      <w:r w:rsidRPr="006847DD">
        <w:rPr>
          <w:lang w:val="en-US"/>
        </w:rPr>
        <w:t>JV's activities. An option for further future funding of £10.0 million is to be available on</w:t>
      </w:r>
      <w:r>
        <w:rPr>
          <w:lang w:val="en-US"/>
        </w:rPr>
        <w:t xml:space="preserve"> </w:t>
      </w:r>
      <w:r w:rsidRPr="006847DD">
        <w:rPr>
          <w:lang w:val="en-US"/>
        </w:rPr>
        <w:t>the achievement of agreed milestones</w:t>
      </w:r>
      <w:r>
        <w:rPr>
          <w:lang w:val="en-US"/>
        </w:rPr>
        <w:t>. The final documents in relation to the ACAM JV were executed on October 19, 2022.</w:t>
      </w:r>
    </w:p>
    <w:p w14:paraId="63C784AB" w14:textId="77777777" w:rsidR="009633AC" w:rsidRDefault="009633AC" w:rsidP="009633AC">
      <w:pPr>
        <w:pStyle w:val="ProspectusCont3"/>
        <w:rPr>
          <w:lang w:val="en-US"/>
        </w:rPr>
      </w:pPr>
      <w:r w:rsidRPr="00ED5B46">
        <w:rPr>
          <w:lang w:val="en-US"/>
        </w:rPr>
        <w:t>On June 1</w:t>
      </w:r>
      <w:r>
        <w:rPr>
          <w:lang w:val="en-US"/>
        </w:rPr>
        <w:t>4</w:t>
      </w:r>
      <w:r w:rsidRPr="00ED5B46">
        <w:rPr>
          <w:lang w:val="en-US"/>
        </w:rPr>
        <w:t>, 2022</w:t>
      </w:r>
      <w:r>
        <w:rPr>
          <w:lang w:val="en-US"/>
        </w:rPr>
        <w:t xml:space="preserve">, </w:t>
      </w:r>
      <w:r w:rsidRPr="00ED5B46">
        <w:rPr>
          <w:lang w:val="en-US"/>
        </w:rPr>
        <w:t>the Corporation</w:t>
      </w:r>
      <w:r>
        <w:rPr>
          <w:lang w:val="en-US"/>
        </w:rPr>
        <w:t xml:space="preserve"> announced </w:t>
      </w:r>
      <w:r w:rsidRPr="00F26B96">
        <w:rPr>
          <w:lang w:val="en-US"/>
        </w:rPr>
        <w:t>results of its 2021 exploration campaign at its Nanoq gold project, South Greenland.</w:t>
      </w:r>
      <w:r>
        <w:rPr>
          <w:lang w:val="en-US"/>
        </w:rPr>
        <w:t xml:space="preserve"> </w:t>
      </w:r>
      <w:r w:rsidRPr="007B690F">
        <w:rPr>
          <w:lang w:val="en-US"/>
        </w:rPr>
        <w:t>Targeted sampling resulted in 26 rock chip samples, returning up to 16.95 g/t Au in one of the newly identified zones and infill sampling returned up to 5.65 g/t Au, confirming its potential to host economic resources.</w:t>
      </w:r>
    </w:p>
    <w:p w14:paraId="78398C74" w14:textId="77777777" w:rsidR="009633AC" w:rsidRDefault="009633AC" w:rsidP="009633AC">
      <w:pPr>
        <w:pStyle w:val="ProspectusCont3"/>
        <w:rPr>
          <w:lang w:val="en-US"/>
        </w:rPr>
      </w:pPr>
      <w:r w:rsidRPr="00ED5B46">
        <w:rPr>
          <w:lang w:val="en-US"/>
        </w:rPr>
        <w:t>On June 17, 2022, the Corporation appointed Panmure Gordon (UK) Limited as joint corporate broker. The appointment was made pursuant to an agreement entered into between the Corporation and Panmure Gordon dated August 4, 2021. The engagement renews annually unless either Panmure Gordon or the Corporation gives 3 months</w:t>
      </w:r>
      <w:r>
        <w:rPr>
          <w:lang w:val="en-US"/>
        </w:rPr>
        <w:t>'</w:t>
      </w:r>
      <w:r w:rsidRPr="00ED5B46">
        <w:rPr>
          <w:lang w:val="en-US"/>
        </w:rPr>
        <w:t xml:space="preserve"> notice to terminate.</w:t>
      </w:r>
    </w:p>
    <w:p w14:paraId="52CE3EDE" w14:textId="77777777" w:rsidR="009633AC" w:rsidRDefault="009633AC" w:rsidP="009633AC">
      <w:pPr>
        <w:pStyle w:val="ProspectusCont3"/>
        <w:rPr>
          <w:lang w:val="en-US"/>
        </w:rPr>
      </w:pPr>
      <w:r>
        <w:rPr>
          <w:lang w:val="en-US"/>
        </w:rPr>
        <w:t>Effective July 12, 2022, the Corporation changed its name from "AEX Gold Inc." to "Amaroq Minerals Ltd."</w:t>
      </w:r>
    </w:p>
    <w:p w14:paraId="4D4EA6E2" w14:textId="77777777" w:rsidR="009633AC" w:rsidRDefault="009633AC" w:rsidP="009633AC">
      <w:pPr>
        <w:pStyle w:val="ProspectusCont3"/>
        <w:rPr>
          <w:lang w:val="en-US"/>
        </w:rPr>
      </w:pPr>
      <w:r>
        <w:rPr>
          <w:lang w:val="en-US"/>
        </w:rPr>
        <w:t xml:space="preserve">On August 15, 2022, the Corporation signed a </w:t>
      </w:r>
      <w:r w:rsidRPr="006A6338">
        <w:rPr>
          <w:lang w:val="en-US"/>
        </w:rPr>
        <w:t>Memorandum of Understanding with ABD Solutions, a business within</w:t>
      </w:r>
      <w:r>
        <w:rPr>
          <w:lang w:val="en-US"/>
        </w:rPr>
        <w:t xml:space="preserve"> </w:t>
      </w:r>
      <w:r w:rsidRPr="006A6338">
        <w:rPr>
          <w:lang w:val="en-US"/>
        </w:rPr>
        <w:t>AB Dynamics PLC, to investigate the potential for the introduction of vehicle autonomy</w:t>
      </w:r>
      <w:r>
        <w:rPr>
          <w:lang w:val="en-US"/>
        </w:rPr>
        <w:t xml:space="preserve"> </w:t>
      </w:r>
      <w:r w:rsidRPr="006A6338">
        <w:rPr>
          <w:lang w:val="en-US"/>
        </w:rPr>
        <w:t xml:space="preserve">systems for various mining vehicles at the Nalunaq </w:t>
      </w:r>
      <w:r>
        <w:rPr>
          <w:lang w:val="en-US"/>
        </w:rPr>
        <w:t xml:space="preserve">Property </w:t>
      </w:r>
      <w:r w:rsidRPr="006A6338">
        <w:rPr>
          <w:lang w:val="en-US"/>
        </w:rPr>
        <w:t>site.</w:t>
      </w:r>
    </w:p>
    <w:p w14:paraId="5D651CF1" w14:textId="77777777" w:rsidR="009633AC" w:rsidRDefault="009633AC" w:rsidP="009633AC">
      <w:pPr>
        <w:pStyle w:val="ProspectusCont3"/>
        <w:rPr>
          <w:lang w:val="en-US"/>
        </w:rPr>
      </w:pPr>
      <w:r>
        <w:rPr>
          <w:lang w:val="en-US"/>
        </w:rPr>
        <w:t xml:space="preserve">On September 1, 2022, the Corporation announced the </w:t>
      </w:r>
      <w:r w:rsidRPr="006A6338">
        <w:rPr>
          <w:lang w:val="en-US"/>
        </w:rPr>
        <w:t>results of its 2021 regional exploration on targets across South Greenland</w:t>
      </w:r>
      <w:r>
        <w:rPr>
          <w:lang w:val="en-US"/>
        </w:rPr>
        <w:t>, which r</w:t>
      </w:r>
      <w:r w:rsidRPr="006A6338">
        <w:rPr>
          <w:lang w:val="en-US"/>
        </w:rPr>
        <w:t xml:space="preserve">egional </w:t>
      </w:r>
      <w:r>
        <w:rPr>
          <w:lang w:val="en-US"/>
        </w:rPr>
        <w:t>e</w:t>
      </w:r>
      <w:r w:rsidRPr="006A6338">
        <w:rPr>
          <w:lang w:val="en-US"/>
        </w:rPr>
        <w:t xml:space="preserve">xploration </w:t>
      </w:r>
      <w:r>
        <w:rPr>
          <w:lang w:val="en-US"/>
        </w:rPr>
        <w:t>p</w:t>
      </w:r>
      <w:r w:rsidRPr="006A6338">
        <w:rPr>
          <w:lang w:val="en-US"/>
        </w:rPr>
        <w:t xml:space="preserve">rogramme </w:t>
      </w:r>
      <w:r>
        <w:rPr>
          <w:lang w:val="en-US"/>
        </w:rPr>
        <w:t>r</w:t>
      </w:r>
      <w:r w:rsidRPr="006A6338">
        <w:rPr>
          <w:lang w:val="en-US"/>
        </w:rPr>
        <w:t>eturn</w:t>
      </w:r>
      <w:r>
        <w:rPr>
          <w:lang w:val="en-US"/>
        </w:rPr>
        <w:t>ed</w:t>
      </w:r>
      <w:r w:rsidRPr="006A6338">
        <w:rPr>
          <w:lang w:val="en-US"/>
        </w:rPr>
        <w:t xml:space="preserve"> 10.4g/t </w:t>
      </w:r>
      <w:r>
        <w:rPr>
          <w:lang w:val="en-US"/>
        </w:rPr>
        <w:t>g</w:t>
      </w:r>
      <w:r w:rsidRPr="006A6338">
        <w:rPr>
          <w:lang w:val="en-US"/>
        </w:rPr>
        <w:t xml:space="preserve">old </w:t>
      </w:r>
      <w:r>
        <w:rPr>
          <w:lang w:val="en-US"/>
        </w:rPr>
        <w:t>d</w:t>
      </w:r>
      <w:r w:rsidRPr="006A6338">
        <w:rPr>
          <w:lang w:val="en-US"/>
        </w:rPr>
        <w:t>iscovery at Eagle's Nest and</w:t>
      </w:r>
      <w:r>
        <w:rPr>
          <w:lang w:val="en-US"/>
        </w:rPr>
        <w:t xml:space="preserve"> </w:t>
      </w:r>
      <w:r w:rsidRPr="006A6338">
        <w:rPr>
          <w:lang w:val="en-US"/>
        </w:rPr>
        <w:t>Strike Extension to the Saqqaa Dyke PGE Target</w:t>
      </w:r>
      <w:r>
        <w:rPr>
          <w:lang w:val="en-US"/>
        </w:rPr>
        <w:t>.</w:t>
      </w:r>
    </w:p>
    <w:p w14:paraId="0B143886" w14:textId="77777777" w:rsidR="009633AC" w:rsidRDefault="009633AC" w:rsidP="009633AC">
      <w:pPr>
        <w:pStyle w:val="ProspectusCont3"/>
        <w:rPr>
          <w:lang w:val="en-US"/>
        </w:rPr>
      </w:pPr>
      <w:r>
        <w:rPr>
          <w:lang w:val="en-US"/>
        </w:rPr>
        <w:t>On October 14, 2022, the Corporation filed the Nalunaq Report.</w:t>
      </w:r>
    </w:p>
    <w:p w14:paraId="21C92088" w14:textId="77777777" w:rsidR="009633AC" w:rsidRDefault="009633AC" w:rsidP="009633AC">
      <w:pPr>
        <w:pStyle w:val="ProspectusCont3"/>
        <w:rPr>
          <w:lang w:val="en-US"/>
        </w:rPr>
      </w:pPr>
      <w:r>
        <w:rPr>
          <w:lang w:val="en-US"/>
        </w:rPr>
        <w:t xml:space="preserve">On October 31, 2022, the Corporation closed an initial financing which </w:t>
      </w:r>
      <w:r w:rsidRPr="00943496">
        <w:rPr>
          <w:lang w:val="en-US"/>
        </w:rPr>
        <w:t>raised C$29,016,701.80</w:t>
      </w:r>
      <w:r>
        <w:rPr>
          <w:lang w:val="en-US"/>
        </w:rPr>
        <w:t xml:space="preserve"> in Iceland</w:t>
      </w:r>
      <w:r w:rsidRPr="00943496">
        <w:rPr>
          <w:lang w:val="en-US"/>
        </w:rPr>
        <w:t xml:space="preserve"> through a placing of 53,734,633 </w:t>
      </w:r>
      <w:r>
        <w:rPr>
          <w:lang w:val="en-US"/>
        </w:rPr>
        <w:t xml:space="preserve">Common Shares. </w:t>
      </w:r>
      <w:r w:rsidRPr="00943496">
        <w:rPr>
          <w:lang w:val="en-US"/>
        </w:rPr>
        <w:t xml:space="preserve">The shares </w:t>
      </w:r>
      <w:r>
        <w:rPr>
          <w:lang w:val="en-US"/>
        </w:rPr>
        <w:t>were</w:t>
      </w:r>
      <w:r w:rsidRPr="00943496">
        <w:rPr>
          <w:lang w:val="en-US"/>
        </w:rPr>
        <w:t xml:space="preserve"> listed as depository receipts on the</w:t>
      </w:r>
      <w:r>
        <w:rPr>
          <w:lang w:val="en-US"/>
        </w:rPr>
        <w:t xml:space="preserve"> First North Iceland. </w:t>
      </w:r>
      <w:r w:rsidRPr="00943496">
        <w:rPr>
          <w:lang w:val="en-US"/>
        </w:rPr>
        <w:t xml:space="preserve">Arion and Landsbankinn acted as agents in connection with </w:t>
      </w:r>
      <w:r>
        <w:rPr>
          <w:lang w:val="en-US"/>
        </w:rPr>
        <w:t>this f</w:t>
      </w:r>
      <w:r w:rsidRPr="00943496">
        <w:rPr>
          <w:lang w:val="en-US"/>
        </w:rPr>
        <w:t xml:space="preserve">undraising. </w:t>
      </w:r>
      <w:r>
        <w:rPr>
          <w:lang w:val="en-US"/>
        </w:rPr>
        <w:t>On November 3, 2022, the Corporation closed the final portion</w:t>
      </w:r>
      <w:r w:rsidRPr="00943496">
        <w:rPr>
          <w:lang w:val="en-US"/>
        </w:rPr>
        <w:t xml:space="preserve"> </w:t>
      </w:r>
      <w:r>
        <w:rPr>
          <w:lang w:val="en-US"/>
        </w:rPr>
        <w:t>of the financing</w:t>
      </w:r>
      <w:r w:rsidRPr="00943496">
        <w:rPr>
          <w:lang w:val="en-US"/>
        </w:rPr>
        <w:t xml:space="preserve"> </w:t>
      </w:r>
      <w:r>
        <w:rPr>
          <w:lang w:val="en-US"/>
        </w:rPr>
        <w:t>which</w:t>
      </w:r>
      <w:r w:rsidRPr="00943496">
        <w:rPr>
          <w:lang w:val="en-US"/>
        </w:rPr>
        <w:t xml:space="preserve"> raised an aggregate of</w:t>
      </w:r>
      <w:r>
        <w:rPr>
          <w:lang w:val="en-US"/>
        </w:rPr>
        <w:t xml:space="preserve"> </w:t>
      </w:r>
      <w:r w:rsidRPr="00943496">
        <w:rPr>
          <w:lang w:val="en-US"/>
        </w:rPr>
        <w:t xml:space="preserve">C$17,364,068 through a placing of 18,493,925 </w:t>
      </w:r>
      <w:r>
        <w:rPr>
          <w:lang w:val="en-US"/>
        </w:rPr>
        <w:t>Common Shares</w:t>
      </w:r>
      <w:r w:rsidRPr="00943496">
        <w:rPr>
          <w:lang w:val="en-US"/>
        </w:rPr>
        <w:t xml:space="preserve"> pursuant to</w:t>
      </w:r>
      <w:r>
        <w:rPr>
          <w:lang w:val="en-US"/>
        </w:rPr>
        <w:t xml:space="preserve"> a</w:t>
      </w:r>
      <w:r w:rsidRPr="00943496">
        <w:rPr>
          <w:lang w:val="en-US"/>
        </w:rPr>
        <w:t xml:space="preserve"> UK </w:t>
      </w:r>
      <w:r>
        <w:rPr>
          <w:lang w:val="en-US"/>
        </w:rPr>
        <w:t>p</w:t>
      </w:r>
      <w:r w:rsidRPr="00943496">
        <w:rPr>
          <w:lang w:val="en-US"/>
        </w:rPr>
        <w:t xml:space="preserve">lacing and 13,485,727 </w:t>
      </w:r>
      <w:r>
        <w:rPr>
          <w:lang w:val="en-US"/>
        </w:rPr>
        <w:t>Common Shares p</w:t>
      </w:r>
      <w:r w:rsidRPr="00943496">
        <w:rPr>
          <w:lang w:val="en-US"/>
        </w:rPr>
        <w:t xml:space="preserve">ursuant to </w:t>
      </w:r>
      <w:r>
        <w:rPr>
          <w:lang w:val="en-US"/>
        </w:rPr>
        <w:t>a</w:t>
      </w:r>
      <w:r w:rsidRPr="00943496">
        <w:rPr>
          <w:lang w:val="en-US"/>
        </w:rPr>
        <w:t xml:space="preserve"> Canadian</w:t>
      </w:r>
      <w:r>
        <w:rPr>
          <w:lang w:val="en-US"/>
        </w:rPr>
        <w:t xml:space="preserve"> s</w:t>
      </w:r>
      <w:r w:rsidRPr="00943496">
        <w:rPr>
          <w:lang w:val="en-US"/>
        </w:rPr>
        <w:t>ubscription</w:t>
      </w:r>
      <w:r>
        <w:rPr>
          <w:lang w:val="en-US"/>
        </w:rPr>
        <w:t xml:space="preserve">. </w:t>
      </w:r>
      <w:r w:rsidRPr="00943496">
        <w:rPr>
          <w:lang w:val="en-US"/>
        </w:rPr>
        <w:t>Stifel Nicolaus Europe Limited and Panmure Gordon (UK) Limited acted as agents in</w:t>
      </w:r>
      <w:r>
        <w:rPr>
          <w:lang w:val="en-US"/>
        </w:rPr>
        <w:t xml:space="preserve"> </w:t>
      </w:r>
      <w:r w:rsidRPr="00943496">
        <w:rPr>
          <w:lang w:val="en-US"/>
        </w:rPr>
        <w:t xml:space="preserve">connection with the UK </w:t>
      </w:r>
      <w:r>
        <w:rPr>
          <w:lang w:val="en-US"/>
        </w:rPr>
        <w:t>p</w:t>
      </w:r>
      <w:r w:rsidRPr="00943496">
        <w:rPr>
          <w:lang w:val="en-US"/>
        </w:rPr>
        <w:t>lacing.</w:t>
      </w:r>
    </w:p>
    <w:p w14:paraId="3BF1CF8F" w14:textId="77777777" w:rsidR="009633AC" w:rsidRDefault="009633AC" w:rsidP="009633AC">
      <w:pPr>
        <w:pStyle w:val="ProspectusCont3"/>
        <w:rPr>
          <w:lang w:val="en-US"/>
        </w:rPr>
      </w:pPr>
      <w:r>
        <w:rPr>
          <w:lang w:val="en-US"/>
        </w:rPr>
        <w:lastRenderedPageBreak/>
        <w:t xml:space="preserve">On November 23, 2022, the Corporation announced </w:t>
      </w:r>
      <w:r w:rsidRPr="00943496">
        <w:rPr>
          <w:lang w:val="en-US"/>
        </w:rPr>
        <w:t>details of its 2022 Sava project exploration results</w:t>
      </w:r>
      <w:r>
        <w:rPr>
          <w:lang w:val="en-US"/>
        </w:rPr>
        <w:t xml:space="preserve"> from s</w:t>
      </w:r>
      <w:r w:rsidRPr="00E072F3">
        <w:rPr>
          <w:lang w:val="en-US"/>
        </w:rPr>
        <w:t>urface exploration conducted across three target areas within the Sava licence,</w:t>
      </w:r>
      <w:r>
        <w:rPr>
          <w:lang w:val="en-US"/>
        </w:rPr>
        <w:t xml:space="preserve"> </w:t>
      </w:r>
      <w:r w:rsidRPr="00E072F3">
        <w:rPr>
          <w:lang w:val="en-US"/>
        </w:rPr>
        <w:t>including the drilling of two scout drillholes,</w:t>
      </w:r>
      <w:r>
        <w:rPr>
          <w:lang w:val="en-US"/>
        </w:rPr>
        <w:t xml:space="preserve"> and which</w:t>
      </w:r>
      <w:r w:rsidRPr="005F3132">
        <w:rPr>
          <w:lang w:val="en-US"/>
        </w:rPr>
        <w:t xml:space="preserve"> </w:t>
      </w:r>
      <w:r>
        <w:rPr>
          <w:lang w:val="en-US"/>
        </w:rPr>
        <w:t>r</w:t>
      </w:r>
      <w:r w:rsidRPr="00E072F3">
        <w:rPr>
          <w:lang w:val="en-US"/>
        </w:rPr>
        <w:t>esults suggest a potentially large iron oxide, copper gold (IOCG) mineral system, in</w:t>
      </w:r>
      <w:r>
        <w:rPr>
          <w:lang w:val="en-US"/>
        </w:rPr>
        <w:t xml:space="preserve"> </w:t>
      </w:r>
      <w:r w:rsidRPr="00E072F3">
        <w:rPr>
          <w:lang w:val="en-US"/>
        </w:rPr>
        <w:t>line with the Co</w:t>
      </w:r>
      <w:r>
        <w:rPr>
          <w:lang w:val="en-US"/>
        </w:rPr>
        <w:t>rporation'</w:t>
      </w:r>
      <w:r w:rsidRPr="00E072F3">
        <w:rPr>
          <w:lang w:val="en-US"/>
        </w:rPr>
        <w:t>s initial 2021 assessment of the area, and produced high-quality</w:t>
      </w:r>
      <w:r>
        <w:rPr>
          <w:lang w:val="en-US"/>
        </w:rPr>
        <w:t xml:space="preserve"> </w:t>
      </w:r>
      <w:r w:rsidRPr="00E072F3">
        <w:rPr>
          <w:lang w:val="en-US"/>
        </w:rPr>
        <w:t xml:space="preserve">samples with copper, gold, silver and molybdenum </w:t>
      </w:r>
      <w:r>
        <w:rPr>
          <w:lang w:val="en-US"/>
        </w:rPr>
        <w:t>mineralization.</w:t>
      </w:r>
    </w:p>
    <w:p w14:paraId="46B465BC" w14:textId="77777777" w:rsidR="009633AC" w:rsidRDefault="009633AC" w:rsidP="009633AC">
      <w:pPr>
        <w:pStyle w:val="ProspectusCont3"/>
        <w:rPr>
          <w:lang w:val="en-US"/>
        </w:rPr>
      </w:pPr>
      <w:r>
        <w:rPr>
          <w:lang w:val="en-US"/>
        </w:rPr>
        <w:t xml:space="preserve">On December 7, 2022, the Corporation announced the results of its 2022 exploration programme at the Nalunaq Property, which included </w:t>
      </w:r>
      <w:r w:rsidRPr="00097A7C">
        <w:rPr>
          <w:lang w:val="en-US"/>
        </w:rPr>
        <w:t>expand</w:t>
      </w:r>
      <w:r>
        <w:rPr>
          <w:lang w:val="en-US"/>
        </w:rPr>
        <w:t>ing the</w:t>
      </w:r>
      <w:r w:rsidRPr="00097A7C">
        <w:rPr>
          <w:lang w:val="en-US"/>
        </w:rPr>
        <w:t xml:space="preserve"> Valley Block and</w:t>
      </w:r>
      <w:r>
        <w:rPr>
          <w:lang w:val="en-US"/>
        </w:rPr>
        <w:t xml:space="preserve"> m</w:t>
      </w:r>
      <w:r w:rsidRPr="00E072F3">
        <w:rPr>
          <w:lang w:val="en-US"/>
        </w:rPr>
        <w:t xml:space="preserve">ain </w:t>
      </w:r>
      <w:r>
        <w:rPr>
          <w:lang w:val="en-US"/>
        </w:rPr>
        <w:t>v</w:t>
      </w:r>
      <w:r w:rsidRPr="00E072F3">
        <w:rPr>
          <w:lang w:val="en-US"/>
        </w:rPr>
        <w:t>ein intersections grading up to 116 g/t Au over 0.62m</w:t>
      </w:r>
      <w:r>
        <w:rPr>
          <w:lang w:val="en-US"/>
        </w:rPr>
        <w:t>.</w:t>
      </w:r>
    </w:p>
    <w:p w14:paraId="11AFAD66" w14:textId="77777777" w:rsidR="009633AC" w:rsidRDefault="009633AC" w:rsidP="009633AC">
      <w:pPr>
        <w:pStyle w:val="ProspectusCont3"/>
        <w:rPr>
          <w:lang w:val="en-US"/>
        </w:rPr>
      </w:pPr>
      <w:r>
        <w:rPr>
          <w:lang w:val="en-US"/>
        </w:rPr>
        <w:t>On December 9, 2022, the Corporation engaged A</w:t>
      </w:r>
      <w:r w:rsidRPr="00097A7C">
        <w:rPr>
          <w:lang w:val="en-US"/>
        </w:rPr>
        <w:t xml:space="preserve">rion and Landsbankinn to provide certain market-making services in respect of </w:t>
      </w:r>
      <w:r>
        <w:rPr>
          <w:lang w:val="en-US"/>
        </w:rPr>
        <w:t xml:space="preserve">the Corporation's </w:t>
      </w:r>
      <w:r w:rsidRPr="00097A7C">
        <w:rPr>
          <w:lang w:val="en-US"/>
        </w:rPr>
        <w:t>Depositary Receipts listed on the First North Iceland</w:t>
      </w:r>
      <w:r>
        <w:rPr>
          <w:lang w:val="en-US"/>
        </w:rPr>
        <w:t>.</w:t>
      </w:r>
    </w:p>
    <w:p w14:paraId="1B9BDC34" w14:textId="77777777" w:rsidR="009633AC" w:rsidRPr="00320924" w:rsidRDefault="009633AC" w:rsidP="009633AC">
      <w:pPr>
        <w:pStyle w:val="ProspectusL3"/>
      </w:pPr>
      <w:r w:rsidRPr="00320924">
        <w:t>2021</w:t>
      </w:r>
    </w:p>
    <w:p w14:paraId="455B6891" w14:textId="77777777" w:rsidR="009633AC" w:rsidRDefault="009633AC" w:rsidP="009633AC">
      <w:pPr>
        <w:pStyle w:val="ProspectusCont3"/>
        <w:rPr>
          <w:lang w:val="en-US"/>
        </w:rPr>
      </w:pPr>
      <w:r>
        <w:rPr>
          <w:lang w:val="en-US"/>
        </w:rPr>
        <w:t xml:space="preserve">On January 26, 2021, the Corporation appointed Jaco Crouse as the Corporation's new chief financial officer. On April 29, 2021, the Corporation appointed Jaco Crouse to the Corporation's board of directors. Mr. Crouse replaced Robert </w:t>
      </w:r>
      <w:r w:rsidRPr="00131342">
        <w:rPr>
          <w:lang w:val="en-US"/>
        </w:rPr>
        <w:t>Ménard</w:t>
      </w:r>
      <w:r>
        <w:rPr>
          <w:lang w:val="en-US"/>
        </w:rPr>
        <w:t xml:space="preserve"> who chose to step down for his position after four years. </w:t>
      </w:r>
      <w:r w:rsidRPr="00300B2B">
        <w:rPr>
          <w:lang w:val="en-US"/>
        </w:rPr>
        <w:t>Martin Ménard, Chief Operating Officer</w:t>
      </w:r>
      <w:r>
        <w:rPr>
          <w:lang w:val="en-US"/>
        </w:rPr>
        <w:t xml:space="preserve"> departed the Corporation</w:t>
      </w:r>
      <w:r w:rsidRPr="00300B2B">
        <w:rPr>
          <w:lang w:val="en-US"/>
        </w:rPr>
        <w:t xml:space="preserve"> on</w:t>
      </w:r>
      <w:r>
        <w:rPr>
          <w:lang w:val="en-US"/>
        </w:rPr>
        <w:t xml:space="preserve"> </w:t>
      </w:r>
      <w:r w:rsidRPr="00300B2B">
        <w:rPr>
          <w:lang w:val="en-US"/>
        </w:rPr>
        <w:t>June 30, 2021.</w:t>
      </w:r>
      <w:r>
        <w:rPr>
          <w:lang w:val="en-US"/>
        </w:rPr>
        <w:t xml:space="preserve"> On June 9, 2021, Line Fredriksen and David Neuhauser were appointed as non-executive directors of the Corporation. On August 27, 2021, the Corporation appointed two non-executive directors, </w:t>
      </w:r>
      <w:r w:rsidRPr="00055F88">
        <w:rPr>
          <w:lang w:val="en-US"/>
        </w:rPr>
        <w:t>Liane Kelly and Warwick</w:t>
      </w:r>
      <w:r>
        <w:rPr>
          <w:lang w:val="en-US"/>
        </w:rPr>
        <w:t xml:space="preserve"> </w:t>
      </w:r>
      <w:r w:rsidRPr="00055F88">
        <w:rPr>
          <w:lang w:val="en-US"/>
        </w:rPr>
        <w:t>Morley-Jepson.</w:t>
      </w:r>
      <w:r w:rsidRPr="00013579">
        <w:rPr>
          <w:lang w:val="en-US"/>
        </w:rPr>
        <w:t xml:space="preserve"> </w:t>
      </w:r>
      <w:r>
        <w:rPr>
          <w:lang w:val="en-US"/>
        </w:rPr>
        <w:t xml:space="preserve">On September 14, 2021, the Corporation appointed </w:t>
      </w:r>
      <w:r w:rsidRPr="007D7860">
        <w:rPr>
          <w:lang w:val="en-US"/>
        </w:rPr>
        <w:t>James Gilbertson as Vice President – Exploration</w:t>
      </w:r>
      <w:r>
        <w:rPr>
          <w:lang w:val="en-US"/>
        </w:rPr>
        <w:t xml:space="preserve">, and the following exploration geologists: </w:t>
      </w:r>
      <w:r w:rsidRPr="007D7860">
        <w:rPr>
          <w:lang w:val="en-US"/>
        </w:rPr>
        <w:t>Aaju Simonsen</w:t>
      </w:r>
      <w:r>
        <w:rPr>
          <w:lang w:val="en-US"/>
        </w:rPr>
        <w:t xml:space="preserve">, </w:t>
      </w:r>
      <w:r w:rsidRPr="007D7860">
        <w:rPr>
          <w:lang w:val="en-US"/>
        </w:rPr>
        <w:t>Jascha Wille</w:t>
      </w:r>
      <w:r>
        <w:rPr>
          <w:lang w:val="en-US"/>
        </w:rPr>
        <w:t xml:space="preserve"> and</w:t>
      </w:r>
      <w:r w:rsidRPr="005F3132">
        <w:rPr>
          <w:lang w:val="en-US"/>
        </w:rPr>
        <w:t xml:space="preserve"> </w:t>
      </w:r>
      <w:r w:rsidRPr="007D7860">
        <w:rPr>
          <w:lang w:val="en-US"/>
        </w:rPr>
        <w:t>Jane Lund</w:t>
      </w:r>
      <w:r>
        <w:rPr>
          <w:lang w:val="en-US"/>
        </w:rPr>
        <w:t>.</w:t>
      </w:r>
    </w:p>
    <w:p w14:paraId="5EC76CEC" w14:textId="77777777" w:rsidR="009633AC" w:rsidRDefault="009633AC" w:rsidP="009633AC">
      <w:pPr>
        <w:pStyle w:val="ProspectusCont3"/>
        <w:rPr>
          <w:lang w:val="en-US"/>
        </w:rPr>
      </w:pPr>
      <w:r>
        <w:rPr>
          <w:lang w:val="en-US"/>
        </w:rPr>
        <w:t>On February 1, 2021, the Corporation announced the sampling results at its Kangerluluk property within the Nuna Nutaaq licence.</w:t>
      </w:r>
    </w:p>
    <w:p w14:paraId="23AA894E" w14:textId="77777777" w:rsidR="009633AC" w:rsidRDefault="009633AC" w:rsidP="009633AC">
      <w:pPr>
        <w:pStyle w:val="ProspectusCont3"/>
        <w:rPr>
          <w:lang w:val="en-US"/>
        </w:rPr>
      </w:pPr>
      <w:r>
        <w:rPr>
          <w:lang w:val="en-US"/>
        </w:rPr>
        <w:t>On March 19, 2021, the Corporation engaged Ausenco Engineering Canada Inc ("</w:t>
      </w:r>
      <w:r w:rsidRPr="00411991">
        <w:rPr>
          <w:b/>
          <w:bCs/>
          <w:lang w:val="en-US"/>
        </w:rPr>
        <w:t>Ausenco</w:t>
      </w:r>
      <w:r>
        <w:rPr>
          <w:lang w:val="en-US"/>
        </w:rPr>
        <w:t>") to conduct an independent review of all technical aspects of the mine development at the Nalunaq Property. The peer review of the Nalunaq Property by Ausenco identified scope for project capital cost optimization and de-risking.</w:t>
      </w:r>
    </w:p>
    <w:p w14:paraId="60623A91" w14:textId="77777777" w:rsidR="009633AC" w:rsidRDefault="009633AC" w:rsidP="009633AC">
      <w:pPr>
        <w:pStyle w:val="ProspectusCont3"/>
        <w:rPr>
          <w:lang w:val="en-US"/>
        </w:rPr>
      </w:pPr>
      <w:r>
        <w:rPr>
          <w:lang w:val="en-US"/>
        </w:rPr>
        <w:t>On April 29, 2021, the Corporation contracted InnovExplo to review and update the Nalunaq Property resource model. The third party review of the Nalunaq Property resource model by InnovExplo concluded that the existing resource model contains no fatal flaws.</w:t>
      </w:r>
    </w:p>
    <w:p w14:paraId="336DC696" w14:textId="77777777" w:rsidR="009633AC" w:rsidRDefault="009633AC" w:rsidP="009633AC">
      <w:pPr>
        <w:pStyle w:val="ProspectusCont3"/>
        <w:rPr>
          <w:lang w:val="en-US"/>
        </w:rPr>
      </w:pPr>
      <w:r>
        <w:rPr>
          <w:lang w:val="en-US"/>
        </w:rPr>
        <w:t xml:space="preserve">On July 1, 2021, the Corporation </w:t>
      </w:r>
      <w:r w:rsidRPr="00300B2B">
        <w:rPr>
          <w:lang w:val="en-US"/>
        </w:rPr>
        <w:t>applied for a new exploration licence in the Kobberminebugt region of</w:t>
      </w:r>
      <w:r>
        <w:rPr>
          <w:lang w:val="en-US"/>
        </w:rPr>
        <w:t xml:space="preserve"> </w:t>
      </w:r>
      <w:r w:rsidRPr="00300B2B">
        <w:rPr>
          <w:lang w:val="en-US"/>
        </w:rPr>
        <w:t>South Greenland covering an area of approximately 266 km</w:t>
      </w:r>
      <w:r w:rsidRPr="00300B2B">
        <w:rPr>
          <w:vertAlign w:val="superscript"/>
          <w:lang w:val="en-US"/>
        </w:rPr>
        <w:t>2</w:t>
      </w:r>
      <w:r>
        <w:rPr>
          <w:lang w:val="en-US"/>
        </w:rPr>
        <w:t>.</w:t>
      </w:r>
      <w:r w:rsidRPr="00013579">
        <w:rPr>
          <w:lang w:val="en-US"/>
        </w:rPr>
        <w:t xml:space="preserve"> </w:t>
      </w:r>
      <w:r>
        <w:rPr>
          <w:lang w:val="en-US"/>
        </w:rPr>
        <w:t xml:space="preserve">On November 2, 2021, the </w:t>
      </w:r>
      <w:r w:rsidRPr="00B41E67">
        <w:rPr>
          <w:lang w:val="en-US"/>
        </w:rPr>
        <w:t>Mineral Licence and Safety Authority (</w:t>
      </w:r>
      <w:r>
        <w:rPr>
          <w:lang w:val="en-US"/>
        </w:rPr>
        <w:t>"</w:t>
      </w:r>
      <w:r w:rsidRPr="00FD20DF">
        <w:rPr>
          <w:b/>
          <w:bCs/>
          <w:lang w:val="en-US"/>
        </w:rPr>
        <w:t>MLSA</w:t>
      </w:r>
      <w:r>
        <w:rPr>
          <w:lang w:val="en-US"/>
        </w:rPr>
        <w:t>"</w:t>
      </w:r>
      <w:r w:rsidRPr="00B41E67">
        <w:rPr>
          <w:lang w:val="en-US"/>
        </w:rPr>
        <w:t>) confirmed that</w:t>
      </w:r>
      <w:r>
        <w:rPr>
          <w:lang w:val="en-US"/>
        </w:rPr>
        <w:t xml:space="preserve"> it</w:t>
      </w:r>
      <w:r w:rsidRPr="00B41E67">
        <w:rPr>
          <w:lang w:val="en-US"/>
        </w:rPr>
        <w:t xml:space="preserve"> awarded the Kobberminebugt licence</w:t>
      </w:r>
      <w:r>
        <w:rPr>
          <w:lang w:val="en-US"/>
        </w:rPr>
        <w:t xml:space="preserve"> to the Corporation.</w:t>
      </w:r>
    </w:p>
    <w:p w14:paraId="15683047" w14:textId="77777777" w:rsidR="009633AC" w:rsidRDefault="009633AC" w:rsidP="009633AC">
      <w:pPr>
        <w:pStyle w:val="ProspectusCont3"/>
        <w:rPr>
          <w:lang w:val="en-US"/>
        </w:rPr>
      </w:pPr>
      <w:r>
        <w:rPr>
          <w:lang w:val="en-US"/>
        </w:rPr>
        <w:t>On July 1, 2021, the Corporation announced that construction of the expanded temporary camp and new exploration camp at the Nalunaq Property to support its activities was progressing, and that the exploration team commenced the drilling programme at Valley Block.</w:t>
      </w:r>
    </w:p>
    <w:p w14:paraId="5910C7B8" w14:textId="77777777" w:rsidR="009633AC" w:rsidRDefault="009633AC" w:rsidP="009633AC">
      <w:pPr>
        <w:pStyle w:val="ProspectusCont3"/>
        <w:rPr>
          <w:lang w:val="en-US"/>
        </w:rPr>
      </w:pPr>
      <w:r>
        <w:rPr>
          <w:lang w:val="en-US"/>
        </w:rPr>
        <w:t xml:space="preserve">On August 5, 2021, the Corporation appointed </w:t>
      </w:r>
      <w:r w:rsidRPr="00B73415">
        <w:rPr>
          <w:lang w:val="en-US"/>
        </w:rPr>
        <w:t>Panmure Gordon (UK)</w:t>
      </w:r>
      <w:r>
        <w:rPr>
          <w:lang w:val="en-US"/>
        </w:rPr>
        <w:t xml:space="preserve"> </w:t>
      </w:r>
      <w:r w:rsidRPr="00B73415">
        <w:rPr>
          <w:lang w:val="en-US"/>
        </w:rPr>
        <w:t>Limited as joint corporate broker</w:t>
      </w:r>
      <w:r>
        <w:rPr>
          <w:lang w:val="en-US"/>
        </w:rPr>
        <w:t>.</w:t>
      </w:r>
    </w:p>
    <w:p w14:paraId="73CAB2F6" w14:textId="77777777" w:rsidR="009633AC" w:rsidRDefault="009633AC" w:rsidP="009633AC">
      <w:pPr>
        <w:pStyle w:val="ProspectusCont3"/>
        <w:rPr>
          <w:lang w:val="en-US"/>
        </w:rPr>
      </w:pPr>
      <w:r>
        <w:rPr>
          <w:lang w:val="en-US"/>
        </w:rPr>
        <w:t xml:space="preserve">On November 23, 2021, the Corporation announced the </w:t>
      </w:r>
      <w:r w:rsidRPr="007D7860">
        <w:rPr>
          <w:lang w:val="en-US"/>
        </w:rPr>
        <w:t>completion of its geophysical exploration programme conducted across its</w:t>
      </w:r>
      <w:r>
        <w:rPr>
          <w:lang w:val="en-US"/>
        </w:rPr>
        <w:t xml:space="preserve"> </w:t>
      </w:r>
      <w:r w:rsidRPr="007D7860">
        <w:rPr>
          <w:lang w:val="en-US"/>
        </w:rPr>
        <w:t>Tartoq gold exploration licences in Southern Greenland</w:t>
      </w:r>
      <w:r>
        <w:rPr>
          <w:lang w:val="en-US"/>
        </w:rPr>
        <w:t xml:space="preserve">, which included a </w:t>
      </w:r>
      <w:r w:rsidRPr="006D4F61">
        <w:rPr>
          <w:lang w:val="en-US"/>
        </w:rPr>
        <w:t>84km</w:t>
      </w:r>
      <w:r w:rsidRPr="006D4F61">
        <w:rPr>
          <w:vertAlign w:val="superscript"/>
          <w:lang w:val="en-US"/>
        </w:rPr>
        <w:t xml:space="preserve">2 </w:t>
      </w:r>
      <w:r w:rsidRPr="006D4F61">
        <w:rPr>
          <w:lang w:val="en-US"/>
        </w:rPr>
        <w:t>airborne magnetics and radiometrics survey</w:t>
      </w:r>
      <w:r w:rsidRPr="007D7860">
        <w:rPr>
          <w:lang w:val="en-US"/>
        </w:rPr>
        <w:t>.</w:t>
      </w:r>
    </w:p>
    <w:p w14:paraId="42406E65" w14:textId="77777777" w:rsidR="009633AC" w:rsidRDefault="009633AC" w:rsidP="009633AC">
      <w:pPr>
        <w:pStyle w:val="ProspectusCont3"/>
        <w:rPr>
          <w:lang w:val="en-US"/>
        </w:rPr>
      </w:pPr>
      <w:r>
        <w:rPr>
          <w:lang w:val="en-US"/>
        </w:rPr>
        <w:t xml:space="preserve">On December 21, 2021, the Corporation announced the completion of a third party engineering study by Halyard Inc., which concluded that the </w:t>
      </w:r>
      <w:r w:rsidRPr="00411991">
        <w:rPr>
          <w:lang w:val="en-US"/>
        </w:rPr>
        <w:t>advanced</w:t>
      </w:r>
      <w:r>
        <w:rPr>
          <w:lang w:val="en-US"/>
        </w:rPr>
        <w:t xml:space="preserve"> </w:t>
      </w:r>
      <w:r w:rsidRPr="00411991">
        <w:rPr>
          <w:lang w:val="en-US"/>
        </w:rPr>
        <w:t xml:space="preserve">engineering of the overall </w:t>
      </w:r>
      <w:r>
        <w:rPr>
          <w:lang w:val="en-US"/>
        </w:rPr>
        <w:t>Nalunaq Property</w:t>
      </w:r>
      <w:r w:rsidRPr="00411991">
        <w:rPr>
          <w:lang w:val="en-US"/>
        </w:rPr>
        <w:t xml:space="preserve"> is now to </w:t>
      </w:r>
      <w:r>
        <w:rPr>
          <w:lang w:val="en-US"/>
        </w:rPr>
        <w:t>f</w:t>
      </w:r>
      <w:r w:rsidRPr="00411991">
        <w:rPr>
          <w:lang w:val="en-US"/>
        </w:rPr>
        <w:t xml:space="preserve">easibility </w:t>
      </w:r>
      <w:r>
        <w:rPr>
          <w:lang w:val="en-US"/>
        </w:rPr>
        <w:t>s</w:t>
      </w:r>
      <w:r w:rsidRPr="00411991">
        <w:rPr>
          <w:lang w:val="en-US"/>
        </w:rPr>
        <w:t>tudy level based on NI</w:t>
      </w:r>
      <w:r>
        <w:rPr>
          <w:lang w:val="en-US"/>
        </w:rPr>
        <w:t xml:space="preserve"> </w:t>
      </w:r>
      <w:r w:rsidRPr="00411991">
        <w:rPr>
          <w:lang w:val="en-US"/>
        </w:rPr>
        <w:t>43-101 requirements.</w:t>
      </w:r>
    </w:p>
    <w:p w14:paraId="3CD7E93D" w14:textId="77777777" w:rsidR="009633AC" w:rsidRPr="00124878" w:rsidRDefault="009633AC" w:rsidP="009633AC">
      <w:pPr>
        <w:pStyle w:val="ProspectusL1"/>
        <w:spacing w:before="240" w:after="120"/>
      </w:pPr>
      <w:bookmarkStart w:id="14" w:name="_Toc57649487"/>
      <w:bookmarkStart w:id="15" w:name="_Toc161911185"/>
      <w:r w:rsidRPr="00124878">
        <w:lastRenderedPageBreak/>
        <w:t>DESCRIPTION OF THE BUSINESS</w:t>
      </w:r>
      <w:bookmarkEnd w:id="14"/>
      <w:bookmarkEnd w:id="15"/>
    </w:p>
    <w:p w14:paraId="421BAD1D" w14:textId="77777777" w:rsidR="009633AC" w:rsidRPr="00124878" w:rsidRDefault="009633AC" w:rsidP="009633AC">
      <w:pPr>
        <w:pStyle w:val="ProspectusL2"/>
        <w:spacing w:after="120"/>
      </w:pPr>
      <w:r w:rsidRPr="00124878">
        <w:t>General</w:t>
      </w:r>
    </w:p>
    <w:p w14:paraId="3ACD1737" w14:textId="77777777" w:rsidR="009633AC" w:rsidRDefault="009633AC" w:rsidP="009633AC">
      <w:pPr>
        <w:pStyle w:val="ProspectusCont2"/>
        <w:rPr>
          <w:lang w:val="en-US"/>
        </w:rPr>
      </w:pPr>
      <w:r>
        <w:rPr>
          <w:lang w:val="en-US"/>
        </w:rPr>
        <w:t>The Corporation</w:t>
      </w:r>
      <w:r w:rsidRPr="00510E97">
        <w:rPr>
          <w:lang w:val="en-US"/>
        </w:rPr>
        <w:t xml:space="preserve"> is an independent gold mining company engaged in the identification, acquisition, exploration and development of gold properties in Greenland.</w:t>
      </w:r>
      <w:r w:rsidRPr="005C1EBB">
        <w:rPr>
          <w:lang w:val="en-GB"/>
        </w:rPr>
        <w:t xml:space="preserve"> The Corporation is in the exploration stage of mining, with no current production operations.</w:t>
      </w:r>
    </w:p>
    <w:p w14:paraId="69005F1C" w14:textId="77777777" w:rsidR="009633AC" w:rsidRDefault="009633AC" w:rsidP="009633AC">
      <w:pPr>
        <w:pStyle w:val="ProspectusCont2"/>
        <w:rPr>
          <w:lang w:val="en-US"/>
        </w:rPr>
      </w:pPr>
      <w:r>
        <w:rPr>
          <w:lang w:val="en-US"/>
        </w:rPr>
        <w:t>T</w:t>
      </w:r>
      <w:r w:rsidRPr="009011F0">
        <w:rPr>
          <w:lang w:val="en-US"/>
        </w:rPr>
        <w:t>he Corporation</w:t>
      </w:r>
      <w:r>
        <w:rPr>
          <w:lang w:val="en-US"/>
        </w:rPr>
        <w:t>'</w:t>
      </w:r>
      <w:r w:rsidRPr="009011F0">
        <w:rPr>
          <w:lang w:val="en-US"/>
        </w:rPr>
        <w:t xml:space="preserve">s shares </w:t>
      </w:r>
      <w:r>
        <w:rPr>
          <w:lang w:val="en-US"/>
        </w:rPr>
        <w:t>have been</w:t>
      </w:r>
      <w:r w:rsidRPr="009011F0">
        <w:rPr>
          <w:lang w:val="en-US"/>
        </w:rPr>
        <w:t xml:space="preserve"> listed (under the </w:t>
      </w:r>
      <w:r>
        <w:rPr>
          <w:lang w:val="en-US"/>
        </w:rPr>
        <w:t>"</w:t>
      </w:r>
      <w:r w:rsidRPr="009011F0">
        <w:rPr>
          <w:lang w:val="en-US"/>
        </w:rPr>
        <w:t>AMRQ</w:t>
      </w:r>
      <w:r>
        <w:rPr>
          <w:lang w:val="en-US"/>
        </w:rPr>
        <w:t>"</w:t>
      </w:r>
      <w:r w:rsidRPr="009011F0">
        <w:rPr>
          <w:lang w:val="en-US"/>
        </w:rPr>
        <w:t xml:space="preserve"> ticker) on the TSX</w:t>
      </w:r>
      <w:r>
        <w:rPr>
          <w:lang w:val="en-US"/>
        </w:rPr>
        <w:t>-</w:t>
      </w:r>
      <w:r w:rsidRPr="009011F0">
        <w:rPr>
          <w:lang w:val="en-US"/>
        </w:rPr>
        <w:t xml:space="preserve">V Exchange </w:t>
      </w:r>
      <w:r>
        <w:rPr>
          <w:lang w:val="en-US"/>
        </w:rPr>
        <w:t>since July 2017</w:t>
      </w:r>
      <w:r w:rsidRPr="009011F0">
        <w:rPr>
          <w:lang w:val="en-US"/>
        </w:rPr>
        <w:t>, on the AIM market of the London Stock Exchange (</w:t>
      </w:r>
      <w:r>
        <w:rPr>
          <w:lang w:val="en-US"/>
        </w:rPr>
        <w:t>"</w:t>
      </w:r>
      <w:r w:rsidRPr="00896291">
        <w:rPr>
          <w:b/>
          <w:bCs/>
          <w:lang w:val="en-US"/>
        </w:rPr>
        <w:t>AIM</w:t>
      </w:r>
      <w:r>
        <w:rPr>
          <w:lang w:val="en-US"/>
        </w:rPr>
        <w:t>"</w:t>
      </w:r>
      <w:r w:rsidRPr="009011F0">
        <w:rPr>
          <w:lang w:val="en-US"/>
        </w:rPr>
        <w:t xml:space="preserve">) </w:t>
      </w:r>
      <w:r>
        <w:rPr>
          <w:lang w:val="en-US"/>
        </w:rPr>
        <w:t xml:space="preserve">since July 2020, </w:t>
      </w:r>
      <w:r w:rsidRPr="009011F0">
        <w:rPr>
          <w:lang w:val="en-US"/>
        </w:rPr>
        <w:t xml:space="preserve">on </w:t>
      </w:r>
      <w:r>
        <w:rPr>
          <w:lang w:val="en-US"/>
        </w:rPr>
        <w:t xml:space="preserve">the </w:t>
      </w:r>
      <w:r w:rsidRPr="009011F0">
        <w:rPr>
          <w:lang w:val="en-US"/>
        </w:rPr>
        <w:t>Nasdaq First North Growth Market Iceland</w:t>
      </w:r>
      <w:r>
        <w:rPr>
          <w:lang w:val="en-US"/>
        </w:rPr>
        <w:t xml:space="preserve"> from November 1, 2022 to September 21, 2023 and</w:t>
      </w:r>
      <w:r w:rsidRPr="009011F0">
        <w:rPr>
          <w:lang w:val="en-US"/>
        </w:rPr>
        <w:t xml:space="preserve"> </w:t>
      </w:r>
      <w:r>
        <w:rPr>
          <w:lang w:val="en-US"/>
        </w:rPr>
        <w:t>on the</w:t>
      </w:r>
      <w:r w:rsidRPr="009011F0">
        <w:rPr>
          <w:lang w:val="en-US"/>
        </w:rPr>
        <w:t xml:space="preserve"> Nasdaq </w:t>
      </w:r>
      <w:r>
        <w:rPr>
          <w:lang w:val="en-US"/>
        </w:rPr>
        <w:t>Iceland's m</w:t>
      </w:r>
      <w:r w:rsidRPr="009011F0">
        <w:rPr>
          <w:lang w:val="en-US"/>
        </w:rPr>
        <w:t xml:space="preserve">ain </w:t>
      </w:r>
      <w:r>
        <w:rPr>
          <w:lang w:val="en-US"/>
        </w:rPr>
        <w:t>m</w:t>
      </w:r>
      <w:r w:rsidRPr="009011F0">
        <w:rPr>
          <w:lang w:val="en-US"/>
        </w:rPr>
        <w:t>arket (</w:t>
      </w:r>
      <w:r>
        <w:rPr>
          <w:lang w:val="en-US"/>
        </w:rPr>
        <w:t>"</w:t>
      </w:r>
      <w:r w:rsidRPr="00151EA2">
        <w:rPr>
          <w:b/>
          <w:bCs/>
          <w:lang w:val="en-US"/>
        </w:rPr>
        <w:t>Nasdaq</w:t>
      </w:r>
      <w:r>
        <w:rPr>
          <w:lang w:val="en-US"/>
        </w:rPr>
        <w:t>"</w:t>
      </w:r>
      <w:r w:rsidRPr="009011F0">
        <w:rPr>
          <w:lang w:val="en-US"/>
        </w:rPr>
        <w:t>)</w:t>
      </w:r>
      <w:r>
        <w:rPr>
          <w:lang w:val="en-US"/>
        </w:rPr>
        <w:t xml:space="preserve"> since </w:t>
      </w:r>
      <w:r w:rsidRPr="009011F0">
        <w:rPr>
          <w:lang w:val="en-US"/>
        </w:rPr>
        <w:t>September 21, 2023.</w:t>
      </w:r>
    </w:p>
    <w:p w14:paraId="4E4DB5F9" w14:textId="77777777" w:rsidR="009633AC" w:rsidRPr="00D474DD" w:rsidRDefault="009633AC" w:rsidP="009633AC">
      <w:pPr>
        <w:pStyle w:val="ProspectusCont2"/>
        <w:rPr>
          <w:lang w:val="en-US"/>
        </w:rPr>
      </w:pPr>
      <w:r w:rsidRPr="00510E97">
        <w:rPr>
          <w:lang w:val="en-US"/>
        </w:rPr>
        <w:t xml:space="preserve">The Corporation's strategy is to leverage its first mover advantage in Greenland, underpinned by the past producing Nalunaq Property, to build a full-cycle gold mining company in Greenland, delivering shareholder value and providing </w:t>
      </w:r>
      <w:r w:rsidRPr="00D474DD">
        <w:rPr>
          <w:lang w:val="en-US"/>
        </w:rPr>
        <w:t>significant upside potential through its land bank of high-impact exploration assets.</w:t>
      </w:r>
    </w:p>
    <w:p w14:paraId="164AF484" w14:textId="73EDAAFD" w:rsidR="009633AC" w:rsidRDefault="009633AC" w:rsidP="009633AC">
      <w:pPr>
        <w:pStyle w:val="ProspectusCont2"/>
        <w:rPr>
          <w:lang w:val="en-US"/>
        </w:rPr>
      </w:pPr>
      <w:r w:rsidRPr="00D474DD">
        <w:rPr>
          <w:lang w:val="en-US"/>
        </w:rPr>
        <w:t xml:space="preserve">The Corporation has established </w:t>
      </w:r>
      <w:r w:rsidR="00AA60D0">
        <w:rPr>
          <w:lang w:val="en-US"/>
        </w:rPr>
        <w:t>a</w:t>
      </w:r>
      <w:r w:rsidRPr="00D474DD">
        <w:rPr>
          <w:lang w:val="en-US"/>
        </w:rPr>
        <w:t xml:space="preserve"> significant land package of gold assets in Greenland. The</w:t>
      </w:r>
      <w:r w:rsidRPr="00510E97">
        <w:rPr>
          <w:lang w:val="en-US"/>
        </w:rPr>
        <w:t xml:space="preserve"> assets are located in the two known gold belts in Southern Greenland, the Nanortalik and Tartoq gold belts, and are focused around the previously producing Nalunaq Property.</w:t>
      </w:r>
    </w:p>
    <w:p w14:paraId="54932460" w14:textId="77777777" w:rsidR="009633AC" w:rsidRDefault="009633AC" w:rsidP="009633AC">
      <w:pPr>
        <w:pStyle w:val="ProspectusCont2"/>
        <w:rPr>
          <w:lang w:val="en-US"/>
        </w:rPr>
      </w:pPr>
      <w:r w:rsidRPr="00510E97">
        <w:rPr>
          <w:lang w:val="en-US"/>
        </w:rPr>
        <w:t>The Nalunaq Property has pre-existing infrastructure and development in place</w:t>
      </w:r>
      <w:r>
        <w:rPr>
          <w:lang w:val="en-US"/>
        </w:rPr>
        <w:t xml:space="preserve"> </w:t>
      </w:r>
      <w:r w:rsidRPr="00510E97">
        <w:rPr>
          <w:lang w:val="en-US"/>
        </w:rPr>
        <w:t>allowing the Corporation to establish near-term production at relatively low cost, with cash flows from production expected to self-fund development and exploration across the Corporation's wider portfolio.</w:t>
      </w:r>
    </w:p>
    <w:p w14:paraId="2BE74819" w14:textId="2F4EDD69" w:rsidR="009633AC" w:rsidRDefault="009633AC" w:rsidP="009633AC">
      <w:pPr>
        <w:pStyle w:val="ProspectusCont2"/>
        <w:rPr>
          <w:lang w:val="en-US"/>
        </w:rPr>
      </w:pPr>
      <w:r w:rsidRPr="0024282D">
        <w:rPr>
          <w:lang w:val="en-US"/>
        </w:rPr>
        <w:t xml:space="preserve">The gold deposit at the Nalunaq Property is high-grade and has previously demonstrated that it can produce gold at a low all-in sustaining cost, making it high margin at current gold prices. The Corporation has </w:t>
      </w:r>
      <w:r w:rsidR="006E40A0">
        <w:rPr>
          <w:lang w:val="en-US"/>
        </w:rPr>
        <w:t>total</w:t>
      </w:r>
      <w:r w:rsidRPr="0024282D">
        <w:rPr>
          <w:lang w:val="en-US"/>
        </w:rPr>
        <w:t xml:space="preserve"> inferred resources of </w:t>
      </w:r>
      <w:r w:rsidRPr="006E40A0">
        <w:rPr>
          <w:lang w:val="en-US"/>
        </w:rPr>
        <w:t>32</w:t>
      </w:r>
      <w:r w:rsidR="006E40A0" w:rsidRPr="006E40A0">
        <w:rPr>
          <w:lang w:val="en-US"/>
        </w:rPr>
        <w:t>0</w:t>
      </w:r>
      <w:r w:rsidRPr="006E40A0">
        <w:rPr>
          <w:lang w:val="en-US"/>
        </w:rPr>
        <w:t xml:space="preserve"> thousand ounces (35</w:t>
      </w:r>
      <w:r w:rsidR="006E40A0" w:rsidRPr="006E40A0">
        <w:rPr>
          <w:lang w:val="en-US"/>
        </w:rPr>
        <w:t>5</w:t>
      </w:r>
      <w:r w:rsidRPr="006E40A0">
        <w:rPr>
          <w:lang w:val="en-US"/>
        </w:rPr>
        <w:t>,</w:t>
      </w:r>
      <w:r w:rsidR="006E40A0" w:rsidRPr="006E40A0">
        <w:rPr>
          <w:lang w:val="en-US"/>
        </w:rPr>
        <w:t>0</w:t>
      </w:r>
      <w:r w:rsidRPr="006E40A0">
        <w:rPr>
          <w:lang w:val="en-US"/>
        </w:rPr>
        <w:t>00 tonnes at 28</w:t>
      </w:r>
      <w:r w:rsidR="006E40A0" w:rsidRPr="006E40A0">
        <w:rPr>
          <w:lang w:val="en-US"/>
        </w:rPr>
        <w:t>.0</w:t>
      </w:r>
      <w:r w:rsidRPr="006E40A0">
        <w:rPr>
          <w:lang w:val="en-US"/>
        </w:rPr>
        <w:t xml:space="preserve"> g/t Au)</w:t>
      </w:r>
      <w:r w:rsidR="00AA60D0" w:rsidRPr="006E40A0">
        <w:rPr>
          <w:rStyle w:val="FootnoteReference"/>
          <w:lang w:val="en-US"/>
        </w:rPr>
        <w:t xml:space="preserve"> </w:t>
      </w:r>
      <w:r w:rsidR="006E40A0">
        <w:rPr>
          <w:lang w:val="en-US"/>
        </w:rPr>
        <w:t>for the Nalunaq Property</w:t>
      </w:r>
      <w:r w:rsidRPr="006E40A0">
        <w:rPr>
          <w:lang w:val="en-US"/>
        </w:rPr>
        <w:t>.</w:t>
      </w:r>
      <w:r w:rsidR="006E40A0" w:rsidRPr="006E40A0">
        <w:rPr>
          <w:rStyle w:val="FootnoteReference"/>
          <w:lang w:val="en-US"/>
        </w:rPr>
        <w:t xml:space="preserve"> </w:t>
      </w:r>
    </w:p>
    <w:p w14:paraId="62C5BD06" w14:textId="77777777" w:rsidR="009633AC" w:rsidRPr="00124878" w:rsidRDefault="009633AC" w:rsidP="009633AC">
      <w:pPr>
        <w:pStyle w:val="ProspectusL2"/>
        <w:spacing w:after="120"/>
      </w:pPr>
      <w:r w:rsidRPr="00124878">
        <w:t>Strategy</w:t>
      </w:r>
    </w:p>
    <w:p w14:paraId="56F17621" w14:textId="77777777" w:rsidR="009633AC" w:rsidRDefault="009633AC" w:rsidP="009633AC">
      <w:pPr>
        <w:pStyle w:val="ProspectusCont2"/>
        <w:rPr>
          <w:lang w:val="en-US"/>
        </w:rPr>
      </w:pPr>
      <w:r w:rsidRPr="00F05B6F">
        <w:rPr>
          <w:lang w:val="en-US"/>
        </w:rPr>
        <w:t>Amaroq</w:t>
      </w:r>
      <w:r>
        <w:rPr>
          <w:lang w:val="en-US"/>
        </w:rPr>
        <w:t>'</w:t>
      </w:r>
      <w:r w:rsidRPr="00F05B6F">
        <w:rPr>
          <w:lang w:val="en-US"/>
        </w:rPr>
        <w:t xml:space="preserve">s business model is to identify, acquire, explore and develop gold properties and other strategic mineral assets in Greenland. The </w:t>
      </w:r>
      <w:r>
        <w:rPr>
          <w:lang w:val="en-US"/>
        </w:rPr>
        <w:t>Corporation'</w:t>
      </w:r>
      <w:r w:rsidRPr="00F05B6F">
        <w:rPr>
          <w:lang w:val="en-US"/>
        </w:rPr>
        <w:t xml:space="preserve">s goal is to explore and develop its assets in order to expand the existing resources at </w:t>
      </w:r>
      <w:r>
        <w:rPr>
          <w:lang w:val="en-US"/>
        </w:rPr>
        <w:t xml:space="preserve">the </w:t>
      </w:r>
      <w:r w:rsidRPr="00F05B6F">
        <w:rPr>
          <w:lang w:val="en-US"/>
        </w:rPr>
        <w:t>Nalunaq</w:t>
      </w:r>
      <w:r>
        <w:rPr>
          <w:lang w:val="en-US"/>
        </w:rPr>
        <w:t xml:space="preserve"> Property</w:t>
      </w:r>
      <w:r w:rsidRPr="00F05B6F">
        <w:rPr>
          <w:lang w:val="en-US"/>
        </w:rPr>
        <w:t xml:space="preserve"> whilst simultaneously exploring other known gold and mineral occurrences in South Greenland. Some of these are close to </w:t>
      </w:r>
      <w:r>
        <w:rPr>
          <w:lang w:val="en-US"/>
        </w:rPr>
        <w:t xml:space="preserve">the </w:t>
      </w:r>
      <w:r w:rsidRPr="00F05B6F">
        <w:rPr>
          <w:lang w:val="en-US"/>
        </w:rPr>
        <w:t xml:space="preserve">Nalunaq </w:t>
      </w:r>
      <w:r>
        <w:rPr>
          <w:lang w:val="en-US"/>
        </w:rPr>
        <w:t xml:space="preserve">Property </w:t>
      </w:r>
      <w:r w:rsidRPr="00F05B6F">
        <w:rPr>
          <w:lang w:val="en-US"/>
        </w:rPr>
        <w:t xml:space="preserve">and may be similar in </w:t>
      </w:r>
      <w:r>
        <w:rPr>
          <w:lang w:val="en-US"/>
        </w:rPr>
        <w:t>mineralization</w:t>
      </w:r>
      <w:r w:rsidRPr="00F05B6F">
        <w:rPr>
          <w:lang w:val="en-US"/>
        </w:rPr>
        <w:t xml:space="preserve"> style. </w:t>
      </w:r>
    </w:p>
    <w:p w14:paraId="084DBFDC" w14:textId="77777777" w:rsidR="009633AC" w:rsidRDefault="009633AC" w:rsidP="009633AC">
      <w:pPr>
        <w:pStyle w:val="ProspectusCont2"/>
        <w:rPr>
          <w:lang w:val="en-US"/>
        </w:rPr>
      </w:pPr>
      <w:r w:rsidRPr="00F05B6F">
        <w:rPr>
          <w:lang w:val="en-US"/>
        </w:rPr>
        <w:t xml:space="preserve">The </w:t>
      </w:r>
      <w:r>
        <w:rPr>
          <w:lang w:val="en-US"/>
        </w:rPr>
        <w:t>Corporation</w:t>
      </w:r>
      <w:r w:rsidRPr="00F05B6F">
        <w:rPr>
          <w:lang w:val="en-US"/>
        </w:rPr>
        <w:t xml:space="preserve"> further aims to conduct its exploration and mining in an energy efficient and environmentally sensitive manner through the deployment of cutting-edge technologies and scientific thinking, investing in communities and green energy projects. The </w:t>
      </w:r>
      <w:r>
        <w:rPr>
          <w:lang w:val="en-US"/>
        </w:rPr>
        <w:t xml:space="preserve">Corporation aims to create </w:t>
      </w:r>
      <w:r w:rsidRPr="00F05B6F">
        <w:rPr>
          <w:lang w:val="en-US"/>
        </w:rPr>
        <w:t xml:space="preserve">a Greenlandic legacy - empowering Greenland to become a strategic supplier of gold and the materials needed to power a greener future. The </w:t>
      </w:r>
      <w:r>
        <w:rPr>
          <w:lang w:val="en-US"/>
        </w:rPr>
        <w:t>Corporation</w:t>
      </w:r>
      <w:r w:rsidRPr="00F05B6F">
        <w:rPr>
          <w:lang w:val="en-US"/>
        </w:rPr>
        <w:t xml:space="preserve"> promotes Greenlandic values, culture, legislation and practices and brings long-term value to Greenland by investing in and empowering local communities to maximize societ</w:t>
      </w:r>
      <w:r>
        <w:rPr>
          <w:lang w:val="en-US"/>
        </w:rPr>
        <w:t>al</w:t>
      </w:r>
      <w:r w:rsidRPr="00F05B6F">
        <w:rPr>
          <w:lang w:val="en-US"/>
        </w:rPr>
        <w:t xml:space="preserve"> growth and facilitating economic development with gold operations through employment, tax receipts and infrastructure support.</w:t>
      </w:r>
    </w:p>
    <w:p w14:paraId="29C615AB" w14:textId="77777777" w:rsidR="009633AC" w:rsidRDefault="009633AC" w:rsidP="009633AC">
      <w:pPr>
        <w:pStyle w:val="ProspectusL2"/>
      </w:pPr>
      <w:r w:rsidRPr="00DB72B8">
        <w:t>Amaroq</w:t>
      </w:r>
      <w:r>
        <w:t>'s D</w:t>
      </w:r>
      <w:r w:rsidRPr="00DB72B8">
        <w:t xml:space="preserve">evelopment </w:t>
      </w:r>
      <w:r>
        <w:t>P</w:t>
      </w:r>
      <w:r w:rsidRPr="00DB72B8">
        <w:t>rocess</w:t>
      </w:r>
    </w:p>
    <w:p w14:paraId="2F3A042F" w14:textId="77777777" w:rsidR="009633AC" w:rsidRDefault="009633AC" w:rsidP="009633AC">
      <w:pPr>
        <w:pStyle w:val="ProspectusCont2"/>
        <w:rPr>
          <w:rFonts w:eastAsia="Arial"/>
          <w:lang w:val="en-GB"/>
        </w:rPr>
      </w:pPr>
      <w:r w:rsidRPr="00806E81">
        <w:rPr>
          <w:rFonts w:eastAsia="Arial"/>
          <w:lang w:val="en-GB"/>
        </w:rPr>
        <w:t xml:space="preserve">Amaroq </w:t>
      </w:r>
      <w:r>
        <w:rPr>
          <w:rFonts w:eastAsia="Arial"/>
          <w:lang w:val="en-GB"/>
        </w:rPr>
        <w:t xml:space="preserve">has </w:t>
      </w:r>
      <w:r w:rsidRPr="00806E81">
        <w:rPr>
          <w:rFonts w:eastAsia="Arial"/>
          <w:lang w:val="en-GB"/>
        </w:rPr>
        <w:t xml:space="preserve">initiated a staged program of </w:t>
      </w:r>
      <w:r>
        <w:rPr>
          <w:rFonts w:eastAsia="Arial"/>
          <w:lang w:val="en-GB"/>
        </w:rPr>
        <w:t>mineral r</w:t>
      </w:r>
      <w:r w:rsidRPr="00806E81">
        <w:rPr>
          <w:rFonts w:eastAsia="Arial"/>
          <w:lang w:val="en-GB"/>
        </w:rPr>
        <w:t>esource development at</w:t>
      </w:r>
      <w:r>
        <w:rPr>
          <w:rFonts w:eastAsia="Arial"/>
          <w:lang w:val="en-GB"/>
        </w:rPr>
        <w:t xml:space="preserve"> the</w:t>
      </w:r>
      <w:r w:rsidRPr="00806E81">
        <w:rPr>
          <w:rFonts w:eastAsia="Arial"/>
          <w:lang w:val="en-GB"/>
        </w:rPr>
        <w:t xml:space="preserve"> Nalunaq</w:t>
      </w:r>
      <w:r>
        <w:rPr>
          <w:rFonts w:eastAsia="Arial"/>
          <w:lang w:val="en-GB"/>
        </w:rPr>
        <w:t xml:space="preserve"> Property</w:t>
      </w:r>
      <w:r w:rsidRPr="00806E81">
        <w:rPr>
          <w:rFonts w:eastAsia="Arial"/>
          <w:lang w:val="en-GB"/>
        </w:rPr>
        <w:t xml:space="preserve"> </w:t>
      </w:r>
      <w:r>
        <w:rPr>
          <w:rFonts w:eastAsia="Arial"/>
          <w:lang w:val="en-GB"/>
        </w:rPr>
        <w:t>to ultimately achieve</w:t>
      </w:r>
      <w:r w:rsidRPr="00806E81">
        <w:rPr>
          <w:rFonts w:eastAsia="Arial"/>
          <w:lang w:val="en-GB"/>
        </w:rPr>
        <w:t xml:space="preserve"> cashflow generation. As of the date </w:t>
      </w:r>
      <w:r>
        <w:rPr>
          <w:rFonts w:eastAsia="Arial"/>
          <w:lang w:val="en-GB"/>
        </w:rPr>
        <w:t>hereof</w:t>
      </w:r>
      <w:r w:rsidRPr="00806E81">
        <w:rPr>
          <w:rFonts w:eastAsia="Arial"/>
          <w:lang w:val="en-GB"/>
        </w:rPr>
        <w:t xml:space="preserve">, the </w:t>
      </w:r>
      <w:r>
        <w:rPr>
          <w:rFonts w:eastAsia="Arial"/>
          <w:lang w:val="en-GB"/>
        </w:rPr>
        <w:t>Corporation</w:t>
      </w:r>
      <w:r w:rsidRPr="00806E81">
        <w:rPr>
          <w:rFonts w:eastAsia="Arial"/>
          <w:lang w:val="en-GB"/>
        </w:rPr>
        <w:t xml:space="preserve"> is on Stage 4</w:t>
      </w:r>
      <w:r>
        <w:rPr>
          <w:rFonts w:eastAsia="Arial"/>
          <w:lang w:val="en-GB"/>
        </w:rPr>
        <w:t xml:space="preserve"> (Trial Mining &amp; Processing)</w:t>
      </w:r>
      <w:r w:rsidRPr="00806E81">
        <w:rPr>
          <w:rFonts w:eastAsia="Arial"/>
          <w:lang w:val="en-GB"/>
        </w:rPr>
        <w:t xml:space="preserve"> in development of </w:t>
      </w:r>
      <w:r>
        <w:rPr>
          <w:rFonts w:eastAsia="Arial"/>
          <w:lang w:val="en-GB"/>
        </w:rPr>
        <w:t xml:space="preserve">the </w:t>
      </w:r>
      <w:r w:rsidRPr="00806E81">
        <w:rPr>
          <w:rFonts w:eastAsia="Arial"/>
          <w:lang w:val="en-GB"/>
        </w:rPr>
        <w:t>Nalunaq</w:t>
      </w:r>
      <w:r>
        <w:rPr>
          <w:rFonts w:eastAsia="Arial"/>
          <w:lang w:val="en-GB"/>
        </w:rPr>
        <w:t xml:space="preserve"> Property</w:t>
      </w:r>
      <w:r w:rsidRPr="00806E81">
        <w:rPr>
          <w:rFonts w:eastAsia="Arial"/>
          <w:lang w:val="en-GB"/>
        </w:rPr>
        <w:t>.</w:t>
      </w:r>
    </w:p>
    <w:p w14:paraId="5FBF485A" w14:textId="77777777" w:rsidR="009633AC" w:rsidRDefault="009633AC" w:rsidP="009633AC">
      <w:pPr>
        <w:pStyle w:val="ProspectusL2"/>
        <w:spacing w:before="240" w:after="120"/>
      </w:pPr>
      <w:r w:rsidRPr="00D63A0F">
        <w:t>Nalunaq</w:t>
      </w:r>
      <w:r>
        <w:t>'s</w:t>
      </w:r>
      <w:r w:rsidRPr="00D63A0F">
        <w:t xml:space="preserve"> </w:t>
      </w:r>
      <w:r>
        <w:t>D</w:t>
      </w:r>
      <w:r w:rsidRPr="00D63A0F">
        <w:t xml:space="preserve">evelopment and </w:t>
      </w:r>
      <w:r>
        <w:t>P</w:t>
      </w:r>
      <w:r w:rsidRPr="00D63A0F">
        <w:t xml:space="preserve">ath to </w:t>
      </w:r>
      <w:r>
        <w:t>C</w:t>
      </w:r>
      <w:r w:rsidRPr="00D63A0F">
        <w:t>ashflow</w:t>
      </w:r>
    </w:p>
    <w:p w14:paraId="48479743" w14:textId="1183E53A" w:rsidR="009633AC" w:rsidRDefault="009633AC" w:rsidP="009633AC">
      <w:pPr>
        <w:pStyle w:val="ProspectusCont2"/>
      </w:pPr>
      <w:r w:rsidRPr="00B32792">
        <w:t xml:space="preserve">Nalunaq A/S, the Corporation's wholly-owned subsidiary has accumulated </w:t>
      </w:r>
      <w:r w:rsidR="006E40A0">
        <w:t>a</w:t>
      </w:r>
      <w:r w:rsidRPr="00B32792">
        <w:t xml:space="preserve"> significant land</w:t>
      </w:r>
      <w:r w:rsidRPr="00510E97">
        <w:t xml:space="preserve"> package of gold licences in Southern Greenland. The Corporation's core asset is the Nalunaq Property, a previously producing mine, which benefits from a substantial capital expenditure programme conducted by previous operators on development and infrastructure, allowing the Corporation to resume operations at a fraction of the cost and time of a greenfield asset.</w:t>
      </w:r>
    </w:p>
    <w:p w14:paraId="7D82B4C3" w14:textId="77777777" w:rsidR="009633AC" w:rsidRDefault="009633AC" w:rsidP="009633AC">
      <w:pPr>
        <w:pStyle w:val="ProspectusCont2"/>
        <w:rPr>
          <w:lang w:val="en-US"/>
        </w:rPr>
      </w:pPr>
      <w:r w:rsidRPr="00510E97">
        <w:rPr>
          <w:lang w:val="en-US"/>
        </w:rPr>
        <w:t>The Corporation's near-term strategy is focused on bringing the Nalunaq Property back into production.</w:t>
      </w:r>
    </w:p>
    <w:p w14:paraId="1A5D8B5D" w14:textId="77777777" w:rsidR="009633AC" w:rsidRPr="00476347" w:rsidRDefault="009633AC" w:rsidP="009633AC">
      <w:pPr>
        <w:pStyle w:val="ProspectusL2"/>
        <w:spacing w:before="240"/>
        <w:rPr>
          <w:lang w:val="en-GB"/>
        </w:rPr>
      </w:pPr>
      <w:r w:rsidRPr="00476347">
        <w:lastRenderedPageBreak/>
        <w:t>Nalunaq</w:t>
      </w:r>
      <w:r>
        <w:t>'s</w:t>
      </w:r>
      <w:r w:rsidRPr="00476347">
        <w:t xml:space="preserve"> </w:t>
      </w:r>
      <w:r>
        <w:t>D</w:t>
      </w:r>
      <w:r w:rsidRPr="00476347">
        <w:t xml:space="preserve">evelopment </w:t>
      </w:r>
      <w:r>
        <w:t>H</w:t>
      </w:r>
      <w:r w:rsidRPr="00476347">
        <w:t xml:space="preserve">istory and </w:t>
      </w:r>
      <w:r>
        <w:t>P</w:t>
      </w:r>
      <w:r w:rsidRPr="00476347">
        <w:t>rospects</w:t>
      </w:r>
      <w:r w:rsidRPr="00476347">
        <w:rPr>
          <w:lang w:val="en-GB"/>
        </w:rPr>
        <w:t>.</w:t>
      </w:r>
    </w:p>
    <w:p w14:paraId="11B81F44" w14:textId="77777777" w:rsidR="009633AC" w:rsidRDefault="009633AC" w:rsidP="009633AC">
      <w:pPr>
        <w:pStyle w:val="ProspectusL6"/>
      </w:pPr>
      <w:r w:rsidRPr="00903D12">
        <w:rPr>
          <w:b/>
          <w:bCs/>
        </w:rPr>
        <w:t>Resource Drilling</w:t>
      </w:r>
      <w:r w:rsidRPr="00262F74">
        <w:t xml:space="preserve"> – From May to July 2023, 1,735m of additional resource drilling was completed from six drillholes into the Mountain Block domain in order to provide further data on the region</w:t>
      </w:r>
      <w:r>
        <w:t>'</w:t>
      </w:r>
      <w:r w:rsidRPr="00262F74">
        <w:t xml:space="preserve">s up dip from the proposed trial mining areas. This drilling </w:t>
      </w:r>
      <w:r>
        <w:t>was</w:t>
      </w:r>
      <w:r w:rsidRPr="00262F74">
        <w:t xml:space="preserve"> sampled and assayed with results released on October</w:t>
      </w:r>
      <w:r>
        <w:t xml:space="preserve"> 11,</w:t>
      </w:r>
      <w:r w:rsidRPr="00262F74">
        <w:t xml:space="preserve"> 2023.</w:t>
      </w:r>
    </w:p>
    <w:p w14:paraId="5F943B2F" w14:textId="77777777" w:rsidR="009633AC" w:rsidRPr="00D80C54" w:rsidRDefault="009633AC" w:rsidP="009633AC">
      <w:pPr>
        <w:pStyle w:val="ProspectusL6"/>
      </w:pPr>
      <w:r w:rsidRPr="00D80C54">
        <w:rPr>
          <w:b/>
          <w:bCs/>
        </w:rPr>
        <w:t>Site Preparation</w:t>
      </w:r>
      <w:r w:rsidRPr="00D80C54">
        <w:t xml:space="preserve"> – From June to December 2023, detailed engineering design for the processing plant, procurement of outstanding process plant equipment, site infrastructure preparation and construction management was commenced. Activities in Q3 2023 were concentrated around site infrastructure preparation. Site preparations included camp upgrades and expansion to increase camp capacity for construction and operating crews.</w:t>
      </w:r>
    </w:p>
    <w:p w14:paraId="54AF5EDA" w14:textId="77777777" w:rsidR="009633AC" w:rsidRPr="00262F74" w:rsidRDefault="009633AC" w:rsidP="009633AC">
      <w:pPr>
        <w:pStyle w:val="ProspectusL6"/>
      </w:pPr>
      <w:r w:rsidRPr="00903D12">
        <w:rPr>
          <w:b/>
          <w:bCs/>
        </w:rPr>
        <w:t>Mine Rehabilitation</w:t>
      </w:r>
      <w:r w:rsidRPr="00262F74">
        <w:t xml:space="preserve"> – The contract mining agreement was finalized and mobilization of equipment, materials, and personnel have essentially been completed. </w:t>
      </w:r>
      <w:bookmarkStart w:id="16" w:name="_Hlk161770755"/>
      <w:r w:rsidRPr="00262F74">
        <w:t xml:space="preserve">Mine access portals at the 300 and 450 level as well as the existing </w:t>
      </w:r>
      <w:r w:rsidRPr="00C756EA">
        <w:t>access ramp from the 300 level to the intended mine workings on the 720 level in the Mountain Block will be rehabilitated to ensure safe access and egress from the mine</w:t>
      </w:r>
      <w:bookmarkEnd w:id="16"/>
      <w:r w:rsidRPr="00C756EA">
        <w:t xml:space="preserve">. </w:t>
      </w:r>
    </w:p>
    <w:p w14:paraId="66D6B6CC" w14:textId="77777777" w:rsidR="009633AC" w:rsidRPr="00262F74" w:rsidRDefault="009633AC" w:rsidP="009633AC">
      <w:pPr>
        <w:pStyle w:val="ProspectusL6"/>
      </w:pPr>
      <w:r w:rsidRPr="001A139F">
        <w:rPr>
          <w:b/>
          <w:bCs/>
        </w:rPr>
        <w:t>Initial Mining Activities</w:t>
      </w:r>
      <w:r w:rsidRPr="00262F74">
        <w:t xml:space="preserve"> – From February 2024 onwards</w:t>
      </w:r>
      <w:r>
        <w:t>,</w:t>
      </w:r>
      <w:r w:rsidRPr="00262F74">
        <w:t xml:space="preserve"> the Corporation intends to trial mine within the Mountain Block to produce ore, feeding an initial stage (gravity circuit) processing facility constructed on the valley floor.</w:t>
      </w:r>
    </w:p>
    <w:p w14:paraId="562F95A3" w14:textId="77777777" w:rsidR="009633AC" w:rsidRDefault="009633AC" w:rsidP="009633AC">
      <w:pPr>
        <w:pStyle w:val="ProspectusL6"/>
      </w:pPr>
      <w:r w:rsidRPr="005C6EAB">
        <w:rPr>
          <w:b/>
          <w:bCs/>
        </w:rPr>
        <w:t>Further Exploration</w:t>
      </w:r>
      <w:r w:rsidRPr="00262F74">
        <w:t xml:space="preserve"> – In addition to this programme, surface and underground exploration will continue across the Target, South and Valley Blocks in order to define further future mine headings. Assay results from the 2023 drilling into the Mountain Block extension recorded the </w:t>
      </w:r>
      <w:r>
        <w:t>Corporation</w:t>
      </w:r>
      <w:r w:rsidRPr="00262F74">
        <w:t>'s highest grade Main Vein intercept ever reported at 182g/t Au over 0.69m during a programme to explore the up-dip extension of the Mountain Block. New discovery of several Hanging Wall Veins intersected, including 256g/t Au over 0.5m in the 75m Vein, showing similar thickness to</w:t>
      </w:r>
      <w:r>
        <w:t xml:space="preserve"> the</w:t>
      </w:r>
      <w:r w:rsidRPr="00262F74">
        <w:t xml:space="preserve"> Main Vein, providing potential for further minable bodies beyond the Main Vein.</w:t>
      </w:r>
    </w:p>
    <w:p w14:paraId="7A8C6CC5" w14:textId="77777777" w:rsidR="009633AC" w:rsidRDefault="009633AC" w:rsidP="009633AC">
      <w:pPr>
        <w:pStyle w:val="ProspectusL2"/>
      </w:pPr>
      <w:r w:rsidRPr="000E0D60">
        <w:t>Gold Projects Exploration</w:t>
      </w:r>
    </w:p>
    <w:p w14:paraId="7835CA9B" w14:textId="77777777" w:rsidR="009633AC" w:rsidRPr="000E0D60" w:rsidRDefault="009633AC" w:rsidP="009633AC">
      <w:pPr>
        <w:pStyle w:val="ProspectusL6"/>
      </w:pPr>
      <w:r w:rsidRPr="00903D12">
        <w:rPr>
          <w:b/>
          <w:bCs/>
        </w:rPr>
        <w:t>Nanoq</w:t>
      </w:r>
      <w:r w:rsidRPr="000E0D60">
        <w:t xml:space="preserve"> –</w:t>
      </w:r>
      <w:r>
        <w:t xml:space="preserve"> </w:t>
      </w:r>
      <w:r w:rsidRPr="000E0D60">
        <w:t>ALS GoldSpot Discoveries Ltd.  conducted a full review of the 2022 geophysical survey results to further define existing and new gold targets. The key findings from this study include:</w:t>
      </w:r>
    </w:p>
    <w:p w14:paraId="42AAA50E" w14:textId="77777777" w:rsidR="009633AC" w:rsidRPr="0038056D" w:rsidRDefault="009633AC" w:rsidP="009633AC">
      <w:pPr>
        <w:pStyle w:val="ListParagraph"/>
        <w:widowControl w:val="0"/>
        <w:numPr>
          <w:ilvl w:val="0"/>
          <w:numId w:val="24"/>
        </w:numPr>
        <w:autoSpaceDE w:val="0"/>
        <w:autoSpaceDN w:val="0"/>
        <w:spacing w:before="10" w:line="249" w:lineRule="auto"/>
        <w:ind w:left="567" w:right="116"/>
        <w:rPr>
          <w:rFonts w:ascii="Times New Roman" w:hAnsi="Times New Roman"/>
          <w:lang w:val="en-US"/>
        </w:rPr>
      </w:pPr>
      <w:r w:rsidRPr="0038056D">
        <w:rPr>
          <w:rFonts w:ascii="Times New Roman" w:hAnsi="Times New Roman"/>
          <w:lang w:val="en-US"/>
        </w:rPr>
        <w:t>Expanded targets at Nanoq along repeated structures to the west of those already sampled, now totalling 17 priority targets;</w:t>
      </w:r>
    </w:p>
    <w:p w14:paraId="278AD098" w14:textId="77777777" w:rsidR="009633AC" w:rsidRPr="0038056D" w:rsidRDefault="009633AC" w:rsidP="009633AC">
      <w:pPr>
        <w:pStyle w:val="ListParagraph"/>
        <w:widowControl w:val="0"/>
        <w:numPr>
          <w:ilvl w:val="0"/>
          <w:numId w:val="24"/>
        </w:numPr>
        <w:autoSpaceDE w:val="0"/>
        <w:autoSpaceDN w:val="0"/>
        <w:spacing w:before="10" w:line="249" w:lineRule="auto"/>
        <w:ind w:left="567" w:right="116"/>
        <w:rPr>
          <w:rFonts w:ascii="Times New Roman" w:hAnsi="Times New Roman"/>
          <w:lang w:val="en-US"/>
        </w:rPr>
      </w:pPr>
      <w:r w:rsidRPr="0038056D">
        <w:rPr>
          <w:rFonts w:ascii="Times New Roman" w:hAnsi="Times New Roman"/>
          <w:lang w:val="en-US"/>
        </w:rPr>
        <w:t>The development of 7 priority exploration targets across Jokum</w:t>
      </w:r>
      <w:r>
        <w:rPr>
          <w:rFonts w:ascii="Times New Roman" w:hAnsi="Times New Roman"/>
          <w:lang w:val="en-US"/>
        </w:rPr>
        <w:t>'</w:t>
      </w:r>
      <w:r w:rsidRPr="0038056D">
        <w:rPr>
          <w:rFonts w:ascii="Times New Roman" w:hAnsi="Times New Roman"/>
          <w:lang w:val="en-US"/>
        </w:rPr>
        <w:t>s Shear;</w:t>
      </w:r>
    </w:p>
    <w:p w14:paraId="13712E23" w14:textId="77777777" w:rsidR="009633AC" w:rsidRPr="0038056D" w:rsidRDefault="009633AC" w:rsidP="009633AC">
      <w:pPr>
        <w:pStyle w:val="ListParagraph"/>
        <w:widowControl w:val="0"/>
        <w:numPr>
          <w:ilvl w:val="0"/>
          <w:numId w:val="24"/>
        </w:numPr>
        <w:autoSpaceDE w:val="0"/>
        <w:autoSpaceDN w:val="0"/>
        <w:spacing w:before="10" w:line="249" w:lineRule="auto"/>
        <w:ind w:left="567" w:right="116"/>
        <w:rPr>
          <w:rFonts w:ascii="Times New Roman" w:hAnsi="Times New Roman"/>
          <w:lang w:val="en-US"/>
        </w:rPr>
      </w:pPr>
      <w:r w:rsidRPr="0038056D">
        <w:rPr>
          <w:rFonts w:ascii="Times New Roman" w:hAnsi="Times New Roman"/>
          <w:lang w:val="en-US"/>
        </w:rPr>
        <w:t>The confirmations of two distinct prospective corridors likely to be auriferous shear zones linking the two areas and identified from radiometric and magnetic data;</w:t>
      </w:r>
    </w:p>
    <w:p w14:paraId="7803C329" w14:textId="77777777" w:rsidR="009633AC" w:rsidRPr="0038056D" w:rsidRDefault="009633AC" w:rsidP="009633AC">
      <w:pPr>
        <w:pStyle w:val="ListParagraph"/>
        <w:widowControl w:val="0"/>
        <w:numPr>
          <w:ilvl w:val="0"/>
          <w:numId w:val="24"/>
        </w:numPr>
        <w:autoSpaceDE w:val="0"/>
        <w:autoSpaceDN w:val="0"/>
        <w:spacing w:before="10" w:line="249" w:lineRule="auto"/>
        <w:ind w:left="567" w:right="116"/>
        <w:rPr>
          <w:rFonts w:ascii="Times New Roman" w:hAnsi="Times New Roman"/>
          <w:lang w:val="en-US"/>
        </w:rPr>
      </w:pPr>
      <w:r w:rsidRPr="0038056D">
        <w:rPr>
          <w:rFonts w:ascii="Times New Roman" w:hAnsi="Times New Roman"/>
          <w:lang w:val="en-US"/>
        </w:rPr>
        <w:t>The identification of numerous crustal-scale structures likely to be associated with gold-bearing fluid circulation;</w:t>
      </w:r>
    </w:p>
    <w:p w14:paraId="436302EA" w14:textId="77777777" w:rsidR="009633AC" w:rsidRPr="0038056D" w:rsidRDefault="009633AC" w:rsidP="009633AC">
      <w:pPr>
        <w:pStyle w:val="ListParagraph"/>
        <w:widowControl w:val="0"/>
        <w:numPr>
          <w:ilvl w:val="0"/>
          <w:numId w:val="24"/>
        </w:numPr>
        <w:autoSpaceDE w:val="0"/>
        <w:autoSpaceDN w:val="0"/>
        <w:spacing w:before="10" w:line="249" w:lineRule="auto"/>
        <w:ind w:left="567" w:right="116"/>
        <w:rPr>
          <w:rFonts w:ascii="Times New Roman" w:hAnsi="Times New Roman"/>
          <w:lang w:val="en-US"/>
        </w:rPr>
      </w:pPr>
      <w:r w:rsidRPr="0038056D">
        <w:rPr>
          <w:rFonts w:ascii="Times New Roman" w:hAnsi="Times New Roman"/>
          <w:lang w:val="en-US"/>
        </w:rPr>
        <w:t xml:space="preserve">The discovery of an important structural dilation zone indicative of significant fluid flow and potential </w:t>
      </w:r>
      <w:r>
        <w:rPr>
          <w:rFonts w:ascii="Times New Roman" w:hAnsi="Times New Roman"/>
          <w:lang w:val="en-US"/>
        </w:rPr>
        <w:t>mineralization</w:t>
      </w:r>
      <w:r w:rsidRPr="0038056D">
        <w:rPr>
          <w:rFonts w:ascii="Times New Roman" w:hAnsi="Times New Roman"/>
          <w:lang w:val="en-US"/>
        </w:rPr>
        <w:t>.</w:t>
      </w:r>
    </w:p>
    <w:p w14:paraId="4873B123" w14:textId="77777777" w:rsidR="009633AC" w:rsidRPr="000E0D60" w:rsidRDefault="009633AC" w:rsidP="009633AC">
      <w:pPr>
        <w:pStyle w:val="ProspectusCont2"/>
      </w:pPr>
      <w:r w:rsidRPr="000E0D60">
        <w:t xml:space="preserve">The </w:t>
      </w:r>
      <w:r>
        <w:t>Corporation</w:t>
      </w:r>
      <w:r w:rsidRPr="000E0D60">
        <w:t xml:space="preserve"> intends to incorporate these new and expanded gold targets ahead of the 2024 field season.</w:t>
      </w:r>
    </w:p>
    <w:p w14:paraId="195F554C" w14:textId="77777777" w:rsidR="009633AC" w:rsidRPr="000E0D60" w:rsidRDefault="009633AC" w:rsidP="009633AC">
      <w:pPr>
        <w:pStyle w:val="ProspectusL6"/>
      </w:pPr>
      <w:r w:rsidRPr="00F077E2">
        <w:rPr>
          <w:b/>
          <w:bCs/>
        </w:rPr>
        <w:t>Vagar Ridge</w:t>
      </w:r>
      <w:r>
        <w:rPr>
          <w:b/>
          <w:bCs/>
        </w:rPr>
        <w:t xml:space="preserve"> </w:t>
      </w:r>
      <w:r w:rsidRPr="000E0D60">
        <w:t xml:space="preserve">– </w:t>
      </w:r>
      <w:r>
        <w:t>F</w:t>
      </w:r>
      <w:r w:rsidRPr="000E0D60">
        <w:t xml:space="preserve">ollowing the review of the 2022 results, the Corporation is progressing the construction of a geological and </w:t>
      </w:r>
      <w:r>
        <w:t>mineralization</w:t>
      </w:r>
      <w:r w:rsidRPr="000E0D60">
        <w:t xml:space="preserve"> model to inform future exploration across Vagar, including additional data collection and reviews and further geological mapping and sampling. Ground preparation and drill readiness preparations will also occur ahead of the 2024 season.</w:t>
      </w:r>
    </w:p>
    <w:p w14:paraId="79580651" w14:textId="77777777" w:rsidR="009633AC" w:rsidRPr="000E0D60" w:rsidRDefault="009633AC" w:rsidP="009633AC">
      <w:pPr>
        <w:pStyle w:val="ProspectusL2"/>
      </w:pPr>
      <w:r w:rsidRPr="000E0D60">
        <w:t xml:space="preserve">Strategic Minerals Exploration </w:t>
      </w:r>
      <w:r>
        <w:t>U</w:t>
      </w:r>
      <w:r w:rsidRPr="000E0D60">
        <w:t>nder Gardaq A/S Joint Venture</w:t>
      </w:r>
    </w:p>
    <w:p w14:paraId="40F75D18" w14:textId="77777777" w:rsidR="009633AC" w:rsidRPr="000E0D60" w:rsidRDefault="009633AC" w:rsidP="009633AC">
      <w:pPr>
        <w:pStyle w:val="ProspectusCont2"/>
        <w:rPr>
          <w:lang w:val="en-US"/>
        </w:rPr>
      </w:pPr>
      <w:r w:rsidRPr="000E0D60">
        <w:rPr>
          <w:lang w:val="en-US"/>
        </w:rPr>
        <w:t xml:space="preserve">The Corporation will be conducting renewed exploration on strategic mineral and base metal targets across its non-gold </w:t>
      </w:r>
      <w:r>
        <w:rPr>
          <w:lang w:val="en-US"/>
        </w:rPr>
        <w:t>j</w:t>
      </w:r>
      <w:r w:rsidRPr="000E0D60">
        <w:rPr>
          <w:lang w:val="en-US"/>
        </w:rPr>
        <w:t xml:space="preserve">oint </w:t>
      </w:r>
      <w:r>
        <w:rPr>
          <w:lang w:val="en-US"/>
        </w:rPr>
        <w:t>v</w:t>
      </w:r>
      <w:r w:rsidRPr="000E0D60">
        <w:rPr>
          <w:lang w:val="en-US"/>
        </w:rPr>
        <w:t>enture licenses portfolio.</w:t>
      </w:r>
    </w:p>
    <w:p w14:paraId="6CBB2B5F" w14:textId="77777777" w:rsidR="009633AC" w:rsidRPr="000E0D60" w:rsidRDefault="009633AC" w:rsidP="009633AC">
      <w:pPr>
        <w:pStyle w:val="ProspectusL6"/>
      </w:pPr>
      <w:r w:rsidRPr="00F077E2">
        <w:rPr>
          <w:b/>
          <w:bCs/>
        </w:rPr>
        <w:lastRenderedPageBreak/>
        <w:t>Sava Copper Belt</w:t>
      </w:r>
      <w:r w:rsidRPr="000E0D60">
        <w:t xml:space="preserve"> – </w:t>
      </w:r>
      <w:r>
        <w:t>T</w:t>
      </w:r>
      <w:r w:rsidRPr="000E0D60">
        <w:t xml:space="preserve">he 2022 scout drilling and geological mapping programme at Sava has been expanded to two drill rigs assessing </w:t>
      </w:r>
      <w:r>
        <w:t>mineralization</w:t>
      </w:r>
      <w:r w:rsidRPr="000E0D60">
        <w:t xml:space="preserve"> style and extend</w:t>
      </w:r>
      <w:r>
        <w:t>s</w:t>
      </w:r>
      <w:r w:rsidRPr="000E0D60">
        <w:t xml:space="preserve"> across the observed </w:t>
      </w:r>
      <w:r>
        <w:t>mineralization</w:t>
      </w:r>
      <w:r w:rsidRPr="000E0D60">
        <w:t>, guided by a number of external Iron Ore Copper Gold (IOCG) experts.  Over Q3 2023</w:t>
      </w:r>
      <w:r>
        <w:t>,</w:t>
      </w:r>
      <w:r w:rsidRPr="000E0D60">
        <w:t xml:space="preserve"> the Corporation completed its scout drilling and surface channeling programme across two targets within the Sava licence </w:t>
      </w:r>
      <w:r>
        <w:t>and</w:t>
      </w:r>
      <w:r w:rsidRPr="000E0D60">
        <w:t xml:space="preserve"> conducted reconnaissance across multiple target zone</w:t>
      </w:r>
      <w:r>
        <w:t>s</w:t>
      </w:r>
      <w:r w:rsidRPr="000E0D60">
        <w:t xml:space="preserve"> in the North Sava licence. The core from this 2,200m programme has been transported to Nalunaq where it has been geologically logged and sampled. Samples have been submitted to the on-site ALS Geochemistry preparation laboratory before dispatch to Ireland for chemical assaying. Results from this drilling and channel sampling </w:t>
      </w:r>
      <w:r>
        <w:t>are</w:t>
      </w:r>
      <w:r w:rsidRPr="000E0D60">
        <w:t xml:space="preserve"> expected in Q1 2024.  </w:t>
      </w:r>
      <w:r>
        <w:t>A</w:t>
      </w:r>
      <w:r w:rsidRPr="000E0D60">
        <w:t xml:space="preserve"> detailed airborne geophysical survey has been conducted</w:t>
      </w:r>
      <w:r>
        <w:t xml:space="preserve"> in parallel</w:t>
      </w:r>
      <w:r w:rsidRPr="000E0D60">
        <w:t xml:space="preserve"> across the Kobberminebugt licence area </w:t>
      </w:r>
      <w:r>
        <w:t>that aims</w:t>
      </w:r>
      <w:r w:rsidRPr="000E0D60">
        <w:t xml:space="preserve"> to develop further skarn  targets following the characterization of the </w:t>
      </w:r>
      <w:r>
        <w:t>mineralization</w:t>
      </w:r>
      <w:r w:rsidRPr="000E0D60">
        <w:t xml:space="preserve"> seen at Josva in 2022. Results are expected in Q1 2024 and programmes will be continued or expanded into the 2024 season.</w:t>
      </w:r>
    </w:p>
    <w:p w14:paraId="637BCA8E" w14:textId="77777777" w:rsidR="009633AC" w:rsidRPr="000E0D60" w:rsidRDefault="009633AC" w:rsidP="009633AC">
      <w:pPr>
        <w:pStyle w:val="ProspectusL6"/>
      </w:pPr>
      <w:r w:rsidRPr="00F077E2">
        <w:rPr>
          <w:b/>
          <w:bCs/>
        </w:rPr>
        <w:t>Stendalen</w:t>
      </w:r>
      <w:r w:rsidRPr="000E0D60">
        <w:t xml:space="preserve"> – </w:t>
      </w:r>
      <w:r>
        <w:t>F</w:t>
      </w:r>
      <w:r w:rsidRPr="000E0D60">
        <w:t>ollowing the completion of a high resolution magnetotellurics (MT) geophysical survey over the host intrusion targeting areas of potential Ni/Cu sulphides similar in style to those seen at Voisey</w:t>
      </w:r>
      <w:r>
        <w:t>'</w:t>
      </w:r>
      <w:r w:rsidRPr="000E0D60">
        <w:t xml:space="preserve">s Bay, detailed 3D inversion models will be reviewed ahead of targeting with a deep scout drillhole aiming to intersect three potential orebodies: Ti/V layering in the upper regions of the intrusion, </w:t>
      </w:r>
      <w:r>
        <w:t>p</w:t>
      </w:r>
      <w:r w:rsidRPr="000E0D60">
        <w:t xml:space="preserve">otential Platinum Group Metal (PGM) </w:t>
      </w:r>
      <w:r>
        <w:t>mineralization</w:t>
      </w:r>
      <w:r w:rsidRPr="000E0D60">
        <w:t xml:space="preserve"> within the layered sequence of the intrusion, and potential Ni/Cu sulphide </w:t>
      </w:r>
      <w:r>
        <w:t>mineralization</w:t>
      </w:r>
      <w:r w:rsidRPr="000E0D60">
        <w:t xml:space="preserve"> at depth and in the contract areas similar in style to that seen at Voisey</w:t>
      </w:r>
      <w:r>
        <w:t>'</w:t>
      </w:r>
      <w:r w:rsidRPr="000E0D60">
        <w:t xml:space="preserve">s Bay in Labrador. The 2024 objectives will then be to build upon these intersections in order to understand the true extent of the </w:t>
      </w:r>
      <w:r>
        <w:t>mineralization</w:t>
      </w:r>
      <w:r w:rsidRPr="000E0D60">
        <w:t xml:space="preserve"> hosted. The Corporation </w:t>
      </w:r>
      <w:r>
        <w:t>has</w:t>
      </w:r>
      <w:r w:rsidRPr="000E0D60">
        <w:t xml:space="preserve"> commenced </w:t>
      </w:r>
      <w:r>
        <w:t>the</w:t>
      </w:r>
      <w:r w:rsidRPr="000E0D60">
        <w:t xml:space="preserve"> drilling programme at Stendalen primarily focusing on geophysical targets identified from the high resolution Magnetotellurics (MT) geophysical survey conducted earlier in the year. This drilling aims to target PGM and Ni/Cu sulphide minerali</w:t>
      </w:r>
      <w:r>
        <w:t>z</w:t>
      </w:r>
      <w:r w:rsidRPr="000E0D60">
        <w:t xml:space="preserve">ation with surface samples aimed at the outcropping Ti/V layering. </w:t>
      </w:r>
      <w:r>
        <w:t>In order t</w:t>
      </w:r>
      <w:r w:rsidRPr="000E0D60">
        <w:t>o facilitate this</w:t>
      </w:r>
      <w:r>
        <w:t>,</w:t>
      </w:r>
      <w:r w:rsidRPr="000E0D60">
        <w:t xml:space="preserve"> a logistics and accommodation hub has been sent up in the Stendalen valley area accommodating </w:t>
      </w:r>
      <w:r>
        <w:t>approximately</w:t>
      </w:r>
      <w:r w:rsidRPr="000E0D60">
        <w:t xml:space="preserve"> 20 people. The Corporation intends to transport this core and surface samples to Nalunaq for logging and sampling with results expected in Q1 2024.</w:t>
      </w:r>
    </w:p>
    <w:p w14:paraId="1F168AEC" w14:textId="77777777" w:rsidR="009633AC" w:rsidRPr="000E0D60" w:rsidRDefault="009633AC" w:rsidP="009633AC">
      <w:pPr>
        <w:pStyle w:val="ProspectusL6"/>
      </w:pPr>
      <w:r w:rsidRPr="00F077E2">
        <w:rPr>
          <w:b/>
          <w:bCs/>
        </w:rPr>
        <w:t>Paatasoq</w:t>
      </w:r>
      <w:r w:rsidRPr="000E0D60">
        <w:t xml:space="preserve"> – </w:t>
      </w:r>
      <w:r>
        <w:t>U</w:t>
      </w:r>
      <w:r w:rsidRPr="000E0D60">
        <w:t>tili</w:t>
      </w:r>
      <w:r>
        <w:t>z</w:t>
      </w:r>
      <w:r w:rsidRPr="000E0D60">
        <w:t xml:space="preserve">ing external expertise in Gardar geology, the Corporation conducted a reconnaissance exploration programme across Paatasoq and the previously identified targets developed from the 2022 desk-based research. The objective was to identify areas of potential economic Rare Earth and Niobium </w:t>
      </w:r>
      <w:r>
        <w:t>mineralization</w:t>
      </w:r>
      <w:r w:rsidRPr="000E0D60">
        <w:t xml:space="preserve"> within the intrusion complex.   The Corporation is expecting the results from the pervision reconnaissance programmes across the Paatasoq licence in Q1 2024. Following </w:t>
      </w:r>
      <w:r>
        <w:t>the receipt of the results</w:t>
      </w:r>
      <w:r w:rsidRPr="000E0D60">
        <w:t>, plans will be assessed for a 2024 field programme.</w:t>
      </w:r>
    </w:p>
    <w:p w14:paraId="3EDC3156" w14:textId="77777777" w:rsidR="009633AC" w:rsidRDefault="009633AC" w:rsidP="009633AC">
      <w:pPr>
        <w:pStyle w:val="ProspectusL6"/>
      </w:pPr>
      <w:r w:rsidRPr="00F077E2">
        <w:rPr>
          <w:b/>
          <w:bCs/>
        </w:rPr>
        <w:t>Saqqaa Dyke</w:t>
      </w:r>
      <w:r w:rsidRPr="000E0D60">
        <w:t xml:space="preserve"> – </w:t>
      </w:r>
      <w:r>
        <w:t>L</w:t>
      </w:r>
      <w:r w:rsidRPr="000E0D60">
        <w:t xml:space="preserve">ocated within the Nalunaq Valley, the Corporation completed a small drilling campaign from the valley floor to intersect the PGE/Au hosting ultramafic dyke along strike from the outcropping </w:t>
      </w:r>
      <w:r>
        <w:t>mineralization</w:t>
      </w:r>
      <w:r w:rsidRPr="000E0D60">
        <w:t xml:space="preserve"> guided by the previously completed ground geophysical survey.</w:t>
      </w:r>
    </w:p>
    <w:p w14:paraId="205D9386" w14:textId="77777777" w:rsidR="009633AC" w:rsidRPr="00D80C54" w:rsidRDefault="009633AC" w:rsidP="009633AC">
      <w:pPr>
        <w:pStyle w:val="ProspectusL6"/>
      </w:pPr>
      <w:r w:rsidRPr="00D80C54">
        <w:rPr>
          <w:b/>
          <w:bCs/>
        </w:rPr>
        <w:t>Regional Exploration</w:t>
      </w:r>
      <w:r w:rsidRPr="00D80C54">
        <w:t xml:space="preserve"> - In Q3 2023 the Corporation received the results from the high resolution MT survey over the Josva historical copper mine and the rest of the licence. The Corporation's geological team are assessing these results ahead of a 2024 exploration programme.  </w:t>
      </w:r>
    </w:p>
    <w:p w14:paraId="40F14902" w14:textId="77777777" w:rsidR="009633AC" w:rsidRPr="000E0D60" w:rsidRDefault="009633AC" w:rsidP="009633AC">
      <w:pPr>
        <w:pStyle w:val="ProspectusL6"/>
      </w:pPr>
      <w:r w:rsidRPr="00F077E2">
        <w:rPr>
          <w:b/>
          <w:bCs/>
        </w:rPr>
        <w:t>Nunarsuit</w:t>
      </w:r>
      <w:r w:rsidRPr="000E0D60">
        <w:t xml:space="preserve"> - </w:t>
      </w:r>
      <w:r>
        <w:t>G</w:t>
      </w:r>
      <w:r w:rsidRPr="000E0D60">
        <w:t>eological reconnaissance surveys</w:t>
      </w:r>
      <w:r>
        <w:t xml:space="preserve"> were</w:t>
      </w:r>
      <w:r w:rsidRPr="000E0D60">
        <w:t xml:space="preserve"> completed </w:t>
      </w:r>
      <w:r>
        <w:t>at</w:t>
      </w:r>
      <w:r w:rsidRPr="000E0D60">
        <w:t xml:space="preserve"> a number of initial targets</w:t>
      </w:r>
      <w:r>
        <w:t xml:space="preserve"> at t</w:t>
      </w:r>
      <w:r w:rsidRPr="000E0D60">
        <w:t>his licence holding REE and other mineral potential. An airborne geophysical survey of the priority areas of this licence has been commissioned with completion expected in Q1 2024.</w:t>
      </w:r>
    </w:p>
    <w:p w14:paraId="038A9697" w14:textId="77777777" w:rsidR="009633AC" w:rsidRDefault="009633AC" w:rsidP="009633AC">
      <w:pPr>
        <w:pStyle w:val="ProspectusCont2"/>
        <w:rPr>
          <w:lang w:val="en-US"/>
        </w:rPr>
      </w:pPr>
      <w:r w:rsidRPr="00510E97">
        <w:rPr>
          <w:lang w:val="en-US"/>
        </w:rPr>
        <w:t>The Corporation intends to take a phased approach to processing, with phase 1 consisting of crushing, milling and gravity recovery circuits, which based on historical processing data has demonstrated gold recovery rates of 65 to 70 per cent. The tailings from this phase 1 processing will be dewatered, filtered and stored on surface in a dry tailings storage facility. Since the tailings will still hold economic value, the Corporation will be able to reprocess these as part of the phase 2 process.</w:t>
      </w:r>
    </w:p>
    <w:p w14:paraId="76BFCF8E" w14:textId="77777777" w:rsidR="009633AC" w:rsidRDefault="009633AC" w:rsidP="009633AC">
      <w:pPr>
        <w:pStyle w:val="ProspectusCont2"/>
        <w:rPr>
          <w:lang w:val="en-US"/>
        </w:rPr>
      </w:pPr>
      <w:r w:rsidRPr="00510E97">
        <w:rPr>
          <w:lang w:val="en-US"/>
        </w:rPr>
        <w:t>The phase 2 process, which will be implemented by the Corporation from operating cash flows derived from phase 1, is expected to begin commissioning within 24 months of commercial phase 1 production and may involve leaching of the gravity tailings, partially reusing the existing underground processing equipment that was left on site by the past operators.</w:t>
      </w:r>
    </w:p>
    <w:p w14:paraId="378A7D56" w14:textId="77777777" w:rsidR="009633AC" w:rsidRDefault="009633AC" w:rsidP="009633AC">
      <w:pPr>
        <w:pStyle w:val="ProspectusCont2"/>
        <w:rPr>
          <w:lang w:val="en-US"/>
        </w:rPr>
      </w:pPr>
      <w:r w:rsidRPr="00510E97">
        <w:rPr>
          <w:lang w:val="en-US"/>
        </w:rPr>
        <w:lastRenderedPageBreak/>
        <w:t>Underground leaching operations require no additional permitting, with all permits remaining in place from the previous operator. Previous processing of the minerals at the Nalunaq Property have demonstrated total gold recoveries of 95 per cent. or more when gravity recovery and leaching of gravity tailings are jointly undertaken.</w:t>
      </w:r>
    </w:p>
    <w:p w14:paraId="56F724BB" w14:textId="77777777" w:rsidR="009633AC" w:rsidRPr="009C13E2" w:rsidRDefault="009633AC" w:rsidP="009633AC">
      <w:pPr>
        <w:pStyle w:val="ProspectusL2"/>
      </w:pPr>
      <w:r w:rsidRPr="009C13E2">
        <w:t>Specialized Skill and Knowledge</w:t>
      </w:r>
    </w:p>
    <w:p w14:paraId="624907A0" w14:textId="77777777" w:rsidR="009633AC" w:rsidRDefault="009633AC" w:rsidP="009633AC">
      <w:pPr>
        <w:pStyle w:val="ProspectusCont2"/>
      </w:pPr>
      <w:r w:rsidRPr="00A52F2C">
        <w:t>All aspects of the Corporation's business require specialized skills and knowledge. Such skills and knowledge include the areas of finance, operations, geology, drilling, logistical planning, implementation of exploration and development programs and mine plans, environmental management, health and safety, community relations, project construction, accounting and finance, and mining operations. The Corporation retains executive officers and consultants with experience in these areas in Canada and the Greenland generally, as well as executive officers and consultants with relevant accounting experience.</w:t>
      </w:r>
    </w:p>
    <w:p w14:paraId="26B68255" w14:textId="77777777" w:rsidR="009633AC" w:rsidRPr="00A52F2C" w:rsidRDefault="009633AC" w:rsidP="009633AC">
      <w:pPr>
        <w:pStyle w:val="ProspectusCont2"/>
        <w:rPr>
          <w:bCs/>
          <w:lang w:val="en-US"/>
        </w:rPr>
      </w:pPr>
      <w:r w:rsidRPr="00A52F2C">
        <w:rPr>
          <w:bCs/>
          <w:lang w:val="en-US"/>
        </w:rPr>
        <w:t>In order to attract and retain personnel with the specialized skills and knowledge required for its operations, the Corporation maintains remuneration and compensation packages that it believes to be competitive. The Corporation has been successful to date in identifying and retaining personnel with such skills and knowledge. For details regarding the specific skills and knowledge of the Corporation's directors and management, see "</w:t>
      </w:r>
      <w:r w:rsidRPr="00A52F2C">
        <w:rPr>
          <w:bCs/>
          <w:i/>
          <w:iCs/>
          <w:lang w:val="en-US"/>
        </w:rPr>
        <w:t>Directors and Officers</w:t>
      </w:r>
      <w:r w:rsidRPr="00A52F2C">
        <w:rPr>
          <w:bCs/>
          <w:lang w:val="en-US"/>
        </w:rPr>
        <w:t>".</w:t>
      </w:r>
    </w:p>
    <w:p w14:paraId="42B2BE5C" w14:textId="77777777" w:rsidR="009633AC" w:rsidRPr="00E75971" w:rsidRDefault="009633AC" w:rsidP="009633AC">
      <w:pPr>
        <w:pStyle w:val="ProspectusL2"/>
      </w:pPr>
      <w:r>
        <w:t>Competitive Conditions</w:t>
      </w:r>
    </w:p>
    <w:p w14:paraId="5E3DB433" w14:textId="77777777" w:rsidR="009633AC" w:rsidRDefault="009633AC" w:rsidP="009633AC">
      <w:pPr>
        <w:pStyle w:val="ProspectusCont2"/>
      </w:pPr>
      <w:r w:rsidRPr="00A52F2C">
        <w:t>The mineral exploration and mining business is very competitive in all phases of exploration, development and production. The Corporation competes with a number of other mining companies in the search for and acquisition of mineral properties, and to retain qualified personnel, suitable contractors for drilling operations, technical and engineering resources and necessary exploration and mining equipment. The Corporation's ability to acquire precious metal mineral properties in the future will depend not only on its ability to develop its present properties, but also on its ability to select and acquire suitable producing properties or prospects for precious metal development or mineral exploration. The Corporation has put in place experienced management personnel and will continue to evaluate the required expertise and skill to carry out its operations.</w:t>
      </w:r>
    </w:p>
    <w:p w14:paraId="0036EE22" w14:textId="77777777" w:rsidR="009633AC" w:rsidRPr="00B27D8E" w:rsidRDefault="009633AC" w:rsidP="009633AC">
      <w:pPr>
        <w:pStyle w:val="ProspectusCont2"/>
        <w:rPr>
          <w:rFonts w:ascii="Arial" w:hAnsi="Arial"/>
        </w:rPr>
      </w:pPr>
      <w:r w:rsidRPr="00A52F2C">
        <w:rPr>
          <w:lang w:val="en-US"/>
        </w:rPr>
        <w:t xml:space="preserve">As a result of this competition, the Corporation may be unable to achieve its exploration and development objectives in the future on terms it considers acceptable or at all. </w:t>
      </w:r>
      <w:r w:rsidRPr="00B27D8E">
        <w:t>See "</w:t>
      </w:r>
      <w:r w:rsidRPr="00B27D8E">
        <w:rPr>
          <w:i/>
          <w:iCs/>
        </w:rPr>
        <w:t>Risk Factors</w:t>
      </w:r>
      <w:r w:rsidRPr="00B27D8E">
        <w:t>".</w:t>
      </w:r>
    </w:p>
    <w:p w14:paraId="565A4D84" w14:textId="77777777" w:rsidR="009633AC" w:rsidRPr="00E75971" w:rsidRDefault="009633AC" w:rsidP="009633AC">
      <w:pPr>
        <w:pStyle w:val="ProspectusL2"/>
      </w:pPr>
      <w:r>
        <w:t>Cycles</w:t>
      </w:r>
    </w:p>
    <w:p w14:paraId="615C9F83" w14:textId="77777777" w:rsidR="009633AC" w:rsidRPr="00A52F2C" w:rsidRDefault="009633AC" w:rsidP="009633AC">
      <w:pPr>
        <w:pStyle w:val="ProspectusCont2"/>
      </w:pPr>
      <w:r w:rsidRPr="00A52F2C">
        <w:t>The Corporation's business, at its current exploration, development and production phase, is not cyclical, and may be conducted year-round.</w:t>
      </w:r>
    </w:p>
    <w:p w14:paraId="396055A8" w14:textId="77777777" w:rsidR="009633AC" w:rsidRPr="009C13E2" w:rsidRDefault="009633AC" w:rsidP="009633AC">
      <w:pPr>
        <w:pStyle w:val="ProspectusL2"/>
      </w:pPr>
      <w:r w:rsidRPr="009C13E2">
        <w:t>Economic Dependence</w:t>
      </w:r>
    </w:p>
    <w:p w14:paraId="3FC2EB8B" w14:textId="77777777" w:rsidR="009633AC" w:rsidRPr="00A52F2C" w:rsidRDefault="009633AC" w:rsidP="009633AC">
      <w:pPr>
        <w:pStyle w:val="ProspectusCont2"/>
      </w:pPr>
      <w:r w:rsidRPr="00A52F2C">
        <w:t>The Corporation's business is not substantially dependent on any contract to sell the major part of its products or to purchase the major part of its requirements for goods, services or raw materials, or on any franchise or license or other agreement to use a patent, formula, trade secret, process or trade name upon which its business depends.</w:t>
      </w:r>
    </w:p>
    <w:p w14:paraId="33D30159" w14:textId="77777777" w:rsidR="009633AC" w:rsidRPr="00E75971" w:rsidRDefault="009633AC" w:rsidP="009633AC">
      <w:pPr>
        <w:pStyle w:val="ProspectusL2"/>
      </w:pPr>
      <w:r w:rsidRPr="00E75971">
        <w:t>Changes to Contracts</w:t>
      </w:r>
    </w:p>
    <w:p w14:paraId="40E7829B" w14:textId="77777777" w:rsidR="009633AC" w:rsidRPr="00A52F2C" w:rsidRDefault="009633AC" w:rsidP="009633AC">
      <w:pPr>
        <w:pStyle w:val="ProspectusCont2"/>
      </w:pPr>
      <w:r w:rsidRPr="00A52F2C">
        <w:t>It is not expected that the Corporation's business will be affected in the current financial year by the renegotiation, amendment or termination of contracts or subcontracts.</w:t>
      </w:r>
    </w:p>
    <w:p w14:paraId="0C8A54E5" w14:textId="77777777" w:rsidR="009633AC" w:rsidRPr="00E75971" w:rsidRDefault="009633AC" w:rsidP="009633AC">
      <w:pPr>
        <w:pStyle w:val="ProspectusL2"/>
      </w:pPr>
      <w:r w:rsidRPr="00E75971">
        <w:t>Environmental Protection</w:t>
      </w:r>
    </w:p>
    <w:p w14:paraId="31E78DD7" w14:textId="77777777" w:rsidR="009633AC" w:rsidRDefault="009633AC" w:rsidP="009633AC">
      <w:pPr>
        <w:pStyle w:val="ProspectusCont2"/>
      </w:pPr>
      <w:r w:rsidRPr="00FE706C">
        <w:t>The Corporation</w:t>
      </w:r>
      <w:r>
        <w:t>'</w:t>
      </w:r>
      <w:r w:rsidRPr="00FE706C">
        <w:t>s operations are subject to environmental and social regulations</w:t>
      </w:r>
      <w:r>
        <w:t xml:space="preserve"> </w:t>
      </w:r>
      <w:r w:rsidRPr="00FE706C">
        <w:t>in the jurisdictions in which it operates.</w:t>
      </w:r>
    </w:p>
    <w:p w14:paraId="1B3930DF" w14:textId="77777777" w:rsidR="009633AC" w:rsidRDefault="009633AC" w:rsidP="009633AC">
      <w:pPr>
        <w:pStyle w:val="ProspectusCont2"/>
      </w:pPr>
      <w:r>
        <w:t>Following an</w:t>
      </w:r>
      <w:r w:rsidRPr="00B02EC5">
        <w:t xml:space="preserve"> extensive preparation period that continued throughout 2023, the Corporation's Nalunaq </w:t>
      </w:r>
      <w:r>
        <w:t>g</w:t>
      </w:r>
      <w:r w:rsidRPr="00B02EC5">
        <w:t xml:space="preserve">old </w:t>
      </w:r>
      <w:r>
        <w:t>m</w:t>
      </w:r>
      <w:r w:rsidRPr="00B02EC5">
        <w:t>ine project entered the official process of public consultations in Greenland regarding Environmental Impact Assessment (</w:t>
      </w:r>
      <w:r>
        <w:t>"</w:t>
      </w:r>
      <w:r w:rsidRPr="000203D3">
        <w:rPr>
          <w:b/>
          <w:bCs/>
        </w:rPr>
        <w:t>EIA</w:t>
      </w:r>
      <w:r>
        <w:t>"</w:t>
      </w:r>
      <w:r w:rsidRPr="00B02EC5">
        <w:t>) and Social Impact Assessment (</w:t>
      </w:r>
      <w:r>
        <w:t>"</w:t>
      </w:r>
      <w:r w:rsidRPr="000203D3">
        <w:rPr>
          <w:b/>
          <w:bCs/>
        </w:rPr>
        <w:t>SIA</w:t>
      </w:r>
      <w:r>
        <w:t>"</w:t>
      </w:r>
      <w:r w:rsidRPr="00B02EC5">
        <w:t>). These consultations concluded on March 1, 2024.</w:t>
      </w:r>
      <w:r w:rsidRPr="00035716">
        <w:rPr>
          <w:lang w:val="en-GB"/>
        </w:rPr>
        <w:t xml:space="preserve"> </w:t>
      </w:r>
      <w:r w:rsidRPr="00396158">
        <w:t xml:space="preserve">The EIA and SIA </w:t>
      </w:r>
      <w:r w:rsidRPr="00396158">
        <w:lastRenderedPageBreak/>
        <w:t>reports were filed in December 2023 with Greenland MLSA and are publicly available. The environmental risks were evaluated by the Corporation and described in EIA and SIA in detail; with the mitigation measures included into relevant project elements design and action plans. Based on the EIA and SIA</w:t>
      </w:r>
      <w:r>
        <w:t>,</w:t>
      </w:r>
      <w:r w:rsidRPr="00396158">
        <w:t xml:space="preserve"> the ESG Risk Register was created at the end of 2023; the ESG risk management system will be elaborated and set up during 2024.</w:t>
      </w:r>
    </w:p>
    <w:p w14:paraId="7C14A497" w14:textId="77777777" w:rsidR="009633AC" w:rsidRPr="00396158" w:rsidRDefault="009633AC" w:rsidP="009633AC">
      <w:pPr>
        <w:pStyle w:val="ProspectusCont2"/>
        <w:rPr>
          <w:lang w:val="en-US"/>
        </w:rPr>
      </w:pPr>
      <w:r w:rsidRPr="00396158">
        <w:rPr>
          <w:lang w:val="en-US"/>
        </w:rPr>
        <w:t>As a result of public consultations, the agreements with Greenlandic authorities will be negotiated and signed regarding the Environmental Monitoring Program, including quantitative targets, and the Impact Benefits Agreement (for social responsibility commitments). These agreements will determine some of the Corporation</w:t>
      </w:r>
      <w:r>
        <w:rPr>
          <w:lang w:val="en-US"/>
        </w:rPr>
        <w:t>'</w:t>
      </w:r>
      <w:r w:rsidRPr="00396158">
        <w:rPr>
          <w:lang w:val="en-US"/>
        </w:rPr>
        <w:t xml:space="preserve">s liabilities and requirements regarding compliance with local ESG regulation. </w:t>
      </w:r>
    </w:p>
    <w:p w14:paraId="3EFB1CEE" w14:textId="77777777" w:rsidR="009633AC" w:rsidRPr="00E75971" w:rsidRDefault="009633AC" w:rsidP="009633AC">
      <w:pPr>
        <w:pStyle w:val="ProspectusL2"/>
        <w:spacing w:after="120"/>
      </w:pPr>
      <w:r w:rsidRPr="00E75971">
        <w:t>Employees</w:t>
      </w:r>
    </w:p>
    <w:p w14:paraId="4291BBD7" w14:textId="77777777" w:rsidR="009633AC" w:rsidRPr="00A52F2C" w:rsidRDefault="009633AC" w:rsidP="009633AC">
      <w:pPr>
        <w:pStyle w:val="ProspectusCont2"/>
      </w:pPr>
      <w:r w:rsidRPr="00A52F2C">
        <w:t>As of December 31, 2023, the Corporation had 22 permanent employees.</w:t>
      </w:r>
    </w:p>
    <w:p w14:paraId="6BDFF7BA" w14:textId="77777777" w:rsidR="009633AC" w:rsidRPr="00E75971" w:rsidRDefault="009633AC" w:rsidP="009633AC">
      <w:pPr>
        <w:pStyle w:val="ProspectusL2"/>
      </w:pPr>
      <w:r w:rsidRPr="00E75971">
        <w:t>Foreign Operations</w:t>
      </w:r>
    </w:p>
    <w:p w14:paraId="0A2F857F" w14:textId="77777777" w:rsidR="009633AC" w:rsidRPr="00A52F2C" w:rsidRDefault="009633AC" w:rsidP="009633AC">
      <w:pPr>
        <w:pStyle w:val="ProspectusCont2"/>
      </w:pPr>
      <w:r w:rsidRPr="00A52F2C">
        <w:t>The Corporation's current mineral properties or projects are located in Greenland. See "</w:t>
      </w:r>
      <w:r w:rsidRPr="00A52F2C">
        <w:rPr>
          <w:i/>
          <w:iCs/>
        </w:rPr>
        <w:t>Mineral Properties</w:t>
      </w:r>
      <w:r w:rsidRPr="00A52F2C">
        <w:t>" for a summary of the Corporation's mineral properties. Any changes in regulations or shifts in political attitudes in this jurisdiction, or any other jurisdiction in which the Corporation has projects from time to time, are beyond the control of the Corporation and may adversely affect its business. Future development and operations may be affected in varying degrees by such factors as government regulations (or changes thereto) with respect to restrictions on production, export controls, income taxes, expropriation of property, repatriation of profits, environmental legislation, land use, water use, land claims of local people, mine safety and receipt of necessary permits. The effect of these factors cannot be accurately predicted. See "</w:t>
      </w:r>
      <w:r w:rsidRPr="00A52F2C">
        <w:rPr>
          <w:i/>
          <w:iCs/>
        </w:rPr>
        <w:t>Risk Factors</w:t>
      </w:r>
      <w:r w:rsidRPr="00A52F2C">
        <w:t>".</w:t>
      </w:r>
    </w:p>
    <w:p w14:paraId="5C211467" w14:textId="77777777" w:rsidR="009633AC" w:rsidRPr="00E75971" w:rsidRDefault="009633AC" w:rsidP="009633AC">
      <w:pPr>
        <w:pStyle w:val="ProspectusL2"/>
      </w:pPr>
      <w:r>
        <w:t>Lending</w:t>
      </w:r>
    </w:p>
    <w:p w14:paraId="7C18A741" w14:textId="77777777" w:rsidR="009633AC" w:rsidRPr="00391E49" w:rsidRDefault="009633AC" w:rsidP="009633AC">
      <w:pPr>
        <w:pStyle w:val="ProspectusCont2"/>
        <w:rPr>
          <w:b/>
        </w:rPr>
      </w:pPr>
      <w:r w:rsidRPr="00391E49">
        <w:t>On September 1, 2023, the Corporation closed a US$50.9 million senior secured financing package.</w:t>
      </w:r>
      <w:r>
        <w:t xml:space="preserve"> </w:t>
      </w:r>
      <w:r w:rsidRPr="00391E49">
        <w:t>See "</w:t>
      </w:r>
      <w:r>
        <w:rPr>
          <w:i/>
          <w:iCs/>
        </w:rPr>
        <w:t>General Development of the Business – Three Year History – 2023</w:t>
      </w:r>
      <w:r>
        <w:t>.</w:t>
      </w:r>
      <w:r w:rsidRPr="00391E49">
        <w:t>"</w:t>
      </w:r>
    </w:p>
    <w:p w14:paraId="58D561C5" w14:textId="77777777" w:rsidR="009633AC" w:rsidRPr="00113F26" w:rsidRDefault="009633AC" w:rsidP="009633AC">
      <w:pPr>
        <w:pStyle w:val="ProspectusL2"/>
      </w:pPr>
      <w:r w:rsidRPr="00113F26">
        <w:t>Bankruptcy and Similar Procedures</w:t>
      </w:r>
    </w:p>
    <w:p w14:paraId="0D14B7D5" w14:textId="77777777" w:rsidR="009633AC" w:rsidRPr="000A722B" w:rsidRDefault="009633AC" w:rsidP="009633AC">
      <w:pPr>
        <w:pStyle w:val="ProspectusCont2"/>
      </w:pPr>
      <w:r w:rsidRPr="000A722B">
        <w:t>There have been no bankruptcy, receivership or similar proceedings against the Corporation or any subsidiary of the Corporation, or any voluntary bankruptcy, receivership or similar proceedings by the Corporation or any subsidiary of the Corporation, within the three most recently completed financial years or during, or proposed for, the current financial year.</w:t>
      </w:r>
    </w:p>
    <w:p w14:paraId="6EDD241E" w14:textId="77777777" w:rsidR="009633AC" w:rsidRPr="00113F26" w:rsidRDefault="009633AC" w:rsidP="009633AC">
      <w:pPr>
        <w:pStyle w:val="ProspectusL2"/>
      </w:pPr>
      <w:r w:rsidRPr="00113F26">
        <w:t>Reorganizations</w:t>
      </w:r>
    </w:p>
    <w:p w14:paraId="34BF8684" w14:textId="77777777" w:rsidR="009633AC" w:rsidRPr="000A722B" w:rsidRDefault="009633AC" w:rsidP="009633AC">
      <w:pPr>
        <w:pStyle w:val="ProspectusCont2"/>
      </w:pPr>
      <w:r w:rsidRPr="000A722B">
        <w:t>There have been no material reorganizations of the Corporation or any subsidiary of the Corporation within the three most recently completed financial years or completed during, or proposed for, the current financial year.</w:t>
      </w:r>
    </w:p>
    <w:p w14:paraId="329833EC" w14:textId="77777777" w:rsidR="009633AC" w:rsidRPr="001B1D97" w:rsidRDefault="009633AC" w:rsidP="009633AC">
      <w:pPr>
        <w:pStyle w:val="ProspectusL2"/>
      </w:pPr>
      <w:r w:rsidRPr="001B1D97">
        <w:t>Social or Environmental Policies</w:t>
      </w:r>
    </w:p>
    <w:p w14:paraId="140CA088" w14:textId="77777777" w:rsidR="009633AC" w:rsidRPr="00A52F2C" w:rsidRDefault="009633AC" w:rsidP="009633AC">
      <w:pPr>
        <w:pStyle w:val="ProspectusCont2"/>
      </w:pPr>
      <w:r w:rsidRPr="00A52F2C">
        <w:t xml:space="preserve">The Corporation recognizes the importance of social and environment responsibility and close co-operation and building long-lasting partnership with the host communities. Therefore, the Corporation adopted during 2023 a set of new policy documents that, along with earlier adopted documents, constitute a governance framework for an environmental risk mitigation system, including the Corporation's Environmental Policy which was approved by the board of directors on August 28, 2023. This policy constitutes the Corporation's commitment to social responsibilities, the health and safety of its employees and respect for the environment where it operates and outlines its guiding principles in this regard. The Corporation's Environmental Policy can be found on the Corporation's website at </w:t>
      </w:r>
      <w:hyperlink r:id="rId22" w:history="1">
        <w:r w:rsidRPr="00A52F2C">
          <w:rPr>
            <w:rStyle w:val="Hyperlink"/>
            <w:lang w:val="en-US"/>
          </w:rPr>
          <w:t>https://www.amaroqminerals.com/responsibility/#environmental</w:t>
        </w:r>
      </w:hyperlink>
      <w:r w:rsidRPr="00A52F2C">
        <w:t xml:space="preserve">. </w:t>
      </w:r>
    </w:p>
    <w:p w14:paraId="437732EF" w14:textId="77777777" w:rsidR="009633AC" w:rsidRPr="00124878" w:rsidRDefault="009633AC" w:rsidP="009633AC">
      <w:pPr>
        <w:pStyle w:val="ProspectusL1"/>
        <w:spacing w:before="240" w:after="120"/>
      </w:pPr>
      <w:bookmarkStart w:id="17" w:name="_Toc42803791"/>
      <w:bookmarkStart w:id="18" w:name="_Toc57649488"/>
      <w:bookmarkStart w:id="19" w:name="_Toc161911186"/>
      <w:r w:rsidRPr="00124878">
        <w:lastRenderedPageBreak/>
        <w:t>RISK FACTORS</w:t>
      </w:r>
      <w:bookmarkEnd w:id="17"/>
      <w:bookmarkEnd w:id="18"/>
      <w:bookmarkEnd w:id="19"/>
    </w:p>
    <w:p w14:paraId="4EE9D723" w14:textId="77777777" w:rsidR="009633AC" w:rsidRDefault="009633AC" w:rsidP="009633AC">
      <w:pPr>
        <w:pStyle w:val="ProspectusCont1"/>
      </w:pPr>
      <w:r w:rsidRPr="00D467CD">
        <w:t xml:space="preserve">The following </w:t>
      </w:r>
      <w:r>
        <w:t>risk factors</w:t>
      </w:r>
      <w:r w:rsidRPr="00D467CD">
        <w:t xml:space="preserve"> </w:t>
      </w:r>
      <w:r>
        <w:t>describe</w:t>
      </w:r>
      <w:r w:rsidRPr="00D467CD">
        <w:t xml:space="preserve"> a number of important risks which management believes could impact the Corporation</w:t>
      </w:r>
      <w:r>
        <w:t>'</w:t>
      </w:r>
      <w:r w:rsidRPr="00D467CD">
        <w:t>s business. There are other risks, not identified below, which currently, or may in the future exist in the Corporation</w:t>
      </w:r>
      <w:r>
        <w:t>'</w:t>
      </w:r>
      <w:r w:rsidRPr="00D467CD">
        <w:t>s operating environment.</w:t>
      </w:r>
    </w:p>
    <w:p w14:paraId="7BEF2B29" w14:textId="77777777" w:rsidR="009633AC" w:rsidRPr="00D467CD" w:rsidRDefault="009633AC" w:rsidP="009633AC">
      <w:pPr>
        <w:pStyle w:val="ProspectusCont1"/>
        <w:rPr>
          <w:lang w:val="en-GB"/>
        </w:rPr>
      </w:pPr>
      <w:r w:rsidRPr="00D467CD">
        <w:rPr>
          <w:lang w:val="en-GB"/>
        </w:rPr>
        <w:t>The mining and mineral exploration industry is risky in nature as companies have to deal with various local and global risks associated with, but not limited to: environmental and social, political, regulatory, health and safety, logistical, financial, and operational</w:t>
      </w:r>
      <w:r>
        <w:rPr>
          <w:lang w:val="en-GB"/>
        </w:rPr>
        <w:t xml:space="preserve"> matters</w:t>
      </w:r>
      <w:r w:rsidRPr="00D467CD">
        <w:rPr>
          <w:lang w:val="en-GB"/>
        </w:rPr>
        <w:t>. The major risks facing the Corporation are detailed in the section below.</w:t>
      </w:r>
    </w:p>
    <w:p w14:paraId="2157AEBF" w14:textId="77777777" w:rsidR="009633AC" w:rsidRPr="00D467CD" w:rsidRDefault="009633AC" w:rsidP="009633AC">
      <w:pPr>
        <w:pStyle w:val="ProspectusL2"/>
      </w:pPr>
      <w:bookmarkStart w:id="20" w:name="_Toc158752278"/>
      <w:r w:rsidRPr="00D467CD">
        <w:t xml:space="preserve">Risks </w:t>
      </w:r>
      <w:r>
        <w:t>R</w:t>
      </w:r>
      <w:r w:rsidRPr="00D467CD">
        <w:t>elated to the Corporation</w:t>
      </w:r>
      <w:r>
        <w:t>'</w:t>
      </w:r>
      <w:r w:rsidRPr="00D467CD">
        <w:t xml:space="preserve">s </w:t>
      </w:r>
      <w:r>
        <w:t>O</w:t>
      </w:r>
      <w:r w:rsidRPr="00D467CD">
        <w:t>perations</w:t>
      </w:r>
      <w:bookmarkEnd w:id="20"/>
    </w:p>
    <w:p w14:paraId="3BD789C3" w14:textId="77777777" w:rsidR="009633AC" w:rsidRPr="00D467CD" w:rsidRDefault="009633AC" w:rsidP="009633AC">
      <w:pPr>
        <w:pStyle w:val="ProspectusL3"/>
      </w:pPr>
      <w:bookmarkStart w:id="21" w:name="_Toc158752279"/>
      <w:r w:rsidRPr="00D467CD">
        <w:t xml:space="preserve">The Corporation is an exploration stage </w:t>
      </w:r>
      <w:bookmarkEnd w:id="21"/>
      <w:r>
        <w:t>company</w:t>
      </w:r>
    </w:p>
    <w:p w14:paraId="56CCD667" w14:textId="77777777" w:rsidR="009633AC" w:rsidRDefault="009633AC" w:rsidP="009633AC">
      <w:pPr>
        <w:pStyle w:val="ProspectusCont3"/>
      </w:pPr>
      <w:r w:rsidRPr="00D467CD">
        <w:t xml:space="preserve">The Corporation is an exploration stage mining company, which currently has no mines in production and needs to conduct exploration activities to discover and develop mineral reserves on the areas of land in respect of which </w:t>
      </w:r>
      <w:r>
        <w:t>it</w:t>
      </w:r>
      <w:r w:rsidRPr="00D467CD">
        <w:t xml:space="preserve"> has been granted licences by the </w:t>
      </w:r>
      <w:r>
        <w:t>MLSA</w:t>
      </w:r>
      <w:r w:rsidRPr="00D467CD">
        <w:t xml:space="preserve">. It cannot give assurance that a commercially viable resource </w:t>
      </w:r>
      <w:r>
        <w:t>or</w:t>
      </w:r>
      <w:r w:rsidRPr="00D467CD">
        <w:t xml:space="preserve"> reserve exists on any or all Properties for which the Corporation currently has or may obtain (through potential future joint venture agreements or acquisitions) an exploration license.</w:t>
      </w:r>
    </w:p>
    <w:p w14:paraId="0B4A2216" w14:textId="77777777" w:rsidR="009633AC" w:rsidRDefault="009633AC" w:rsidP="009633AC">
      <w:pPr>
        <w:pStyle w:val="ProspectusCont3"/>
        <w:rPr>
          <w:lang w:val="en-GB"/>
        </w:rPr>
      </w:pPr>
      <w:r w:rsidRPr="00D467CD">
        <w:rPr>
          <w:lang w:val="en-GB"/>
        </w:rPr>
        <w:t>While the Nalunaq property (mineral exploitation licence 2003/05 issued by the MLSA to Nalunaq A/S (</w:t>
      </w:r>
      <w:r>
        <w:rPr>
          <w:lang w:val="en-GB"/>
        </w:rPr>
        <w:t>"</w:t>
      </w:r>
      <w:r w:rsidRPr="00FD20DF">
        <w:rPr>
          <w:b/>
          <w:bCs/>
          <w:lang w:val="en-GB"/>
        </w:rPr>
        <w:t>Nalunaq Licence</w:t>
      </w:r>
      <w:r>
        <w:rPr>
          <w:lang w:val="en-GB"/>
        </w:rPr>
        <w:t>"</w:t>
      </w:r>
      <w:r w:rsidRPr="00D467CD">
        <w:rPr>
          <w:lang w:val="en-GB"/>
        </w:rPr>
        <w:t>)) has an operating history and Amaroq has established a defined mineral resource beyond that which was mined, the true value of the project is in the resource potential that has not as</w:t>
      </w:r>
      <w:r>
        <w:rPr>
          <w:lang w:val="en-GB"/>
        </w:rPr>
        <w:t xml:space="preserve"> of</w:t>
      </w:r>
      <w:r w:rsidRPr="00D467CD">
        <w:rPr>
          <w:lang w:val="en-GB"/>
        </w:rPr>
        <w:t xml:space="preserve"> yet been sufficiently quantified, termed the </w:t>
      </w:r>
      <w:r>
        <w:rPr>
          <w:lang w:val="en-GB"/>
        </w:rPr>
        <w:t>"</w:t>
      </w:r>
      <w:r w:rsidRPr="00FD20DF">
        <w:rPr>
          <w:b/>
          <w:bCs/>
          <w:lang w:val="en-GB"/>
        </w:rPr>
        <w:t>Exploration Target</w:t>
      </w:r>
      <w:r>
        <w:rPr>
          <w:lang w:val="en-GB"/>
        </w:rPr>
        <w:t>"</w:t>
      </w:r>
      <w:r w:rsidRPr="00D467CD">
        <w:rPr>
          <w:lang w:val="en-GB"/>
        </w:rPr>
        <w:t>. This opportunity is relatively early stage and requires the Corporation to perform additional exploration activities and there can be no certainty that this will be successful.</w:t>
      </w:r>
    </w:p>
    <w:p w14:paraId="360A525A" w14:textId="77777777" w:rsidR="009633AC" w:rsidRDefault="009633AC" w:rsidP="009633AC">
      <w:pPr>
        <w:pStyle w:val="ProspectusCont3"/>
        <w:rPr>
          <w:lang w:val="en-GB"/>
        </w:rPr>
      </w:pPr>
      <w:r w:rsidRPr="00D467CD">
        <w:rPr>
          <w:lang w:val="en-GB"/>
        </w:rPr>
        <w:t>The Corporation</w:t>
      </w:r>
      <w:r>
        <w:rPr>
          <w:lang w:val="en-GB"/>
        </w:rPr>
        <w:t>'</w:t>
      </w:r>
      <w:r w:rsidRPr="00D467CD">
        <w:rPr>
          <w:lang w:val="en-GB"/>
        </w:rPr>
        <w:t xml:space="preserve">s other licence interests are each </w:t>
      </w:r>
      <w:r>
        <w:rPr>
          <w:lang w:val="en-GB"/>
        </w:rPr>
        <w:t>at</w:t>
      </w:r>
      <w:r w:rsidRPr="00D467CD">
        <w:rPr>
          <w:lang w:val="en-GB"/>
        </w:rPr>
        <w:t xml:space="preserve"> a different stage of early development, and</w:t>
      </w:r>
      <w:r w:rsidRPr="00D467CD" w:rsidDel="00997EC5">
        <w:rPr>
          <w:lang w:val="en-GB"/>
        </w:rPr>
        <w:t xml:space="preserve"> </w:t>
      </w:r>
      <w:r w:rsidRPr="00D467CD">
        <w:rPr>
          <w:lang w:val="en-GB"/>
        </w:rPr>
        <w:t>although a number of them are known to host gold and other minerals prospects, the Corporation will be required to conduct significant exploration activities in order to demonstrate the commercial viability of these mineral deposits. There can be no certainty that such exploration activities will result in resources and ultimately minable reserves.</w:t>
      </w:r>
    </w:p>
    <w:p w14:paraId="45060E8D" w14:textId="77777777" w:rsidR="009633AC" w:rsidRDefault="009633AC" w:rsidP="009633AC">
      <w:pPr>
        <w:pStyle w:val="ProspectusCont3"/>
        <w:rPr>
          <w:lang w:val="en-GB"/>
        </w:rPr>
      </w:pPr>
      <w:r w:rsidRPr="00D467CD">
        <w:rPr>
          <w:lang w:val="en-GB"/>
        </w:rPr>
        <w:t>Determination of the existence of a resource and subsequently a reserve, depends on appropriate and sufficient exploration programmes and the evaluation of legal, economic and environmental factors. It may take several years to advance the Corporation</w:t>
      </w:r>
      <w:r>
        <w:rPr>
          <w:lang w:val="en-GB"/>
        </w:rPr>
        <w:t>'</w:t>
      </w:r>
      <w:r w:rsidRPr="00D467CD">
        <w:rPr>
          <w:lang w:val="en-GB"/>
        </w:rPr>
        <w:t>s early-stage prospects to a stage where they justify development and/or production, during which time the economic feasibility of production may change.</w:t>
      </w:r>
    </w:p>
    <w:p w14:paraId="1469187C" w14:textId="77777777" w:rsidR="009633AC" w:rsidRPr="00D467CD" w:rsidRDefault="009633AC" w:rsidP="009633AC">
      <w:pPr>
        <w:pStyle w:val="ProspectusCont3"/>
        <w:rPr>
          <w:lang w:val="en-GB"/>
        </w:rPr>
      </w:pPr>
      <w:r w:rsidRPr="00D467CD">
        <w:rPr>
          <w:lang w:val="en-GB"/>
        </w:rPr>
        <w:t>If the Corporation fails to find a commercially viable deposit on any of its properties, its operations, financial condition and results of operations will be materially adversely affected.</w:t>
      </w:r>
    </w:p>
    <w:p w14:paraId="1EDCF7AF" w14:textId="77777777" w:rsidR="009633AC" w:rsidRPr="00D467CD" w:rsidRDefault="009633AC" w:rsidP="009633AC">
      <w:pPr>
        <w:pStyle w:val="ProspectusL3"/>
      </w:pPr>
      <w:bookmarkStart w:id="22" w:name="_Toc158752280"/>
      <w:r w:rsidRPr="00D467CD">
        <w:t>Project development risks</w:t>
      </w:r>
      <w:bookmarkEnd w:id="22"/>
    </w:p>
    <w:p w14:paraId="1E16B59D" w14:textId="77777777" w:rsidR="009633AC" w:rsidRPr="00D467CD" w:rsidRDefault="009633AC" w:rsidP="009633AC">
      <w:pPr>
        <w:pStyle w:val="ProspectusCont3"/>
        <w:rPr>
          <w:lang w:val="is-IS"/>
        </w:rPr>
      </w:pPr>
      <w:r w:rsidRPr="00D467CD">
        <w:t>There can be no assurance that the Corporation will be able to effectively manage the expansion of its operations or that the Corporation</w:t>
      </w:r>
      <w:r>
        <w:t>'</w:t>
      </w:r>
      <w:r w:rsidRPr="00D467CD">
        <w:t>s personnel, systems, procedures and controls will be adequate to support the Corporation</w:t>
      </w:r>
      <w:r>
        <w:t>'</w:t>
      </w:r>
      <w:r w:rsidRPr="00D467CD">
        <w:t xml:space="preserve">s future operations. In particular, although certain of the </w:t>
      </w:r>
      <w:r>
        <w:t>d</w:t>
      </w:r>
      <w:r w:rsidRPr="00D467CD">
        <w:t xml:space="preserve">irectors and </w:t>
      </w:r>
      <w:r>
        <w:t>e</w:t>
      </w:r>
      <w:r w:rsidRPr="00D467CD">
        <w:t xml:space="preserve">xecutive </w:t>
      </w:r>
      <w:r>
        <w:t>o</w:t>
      </w:r>
      <w:r w:rsidRPr="00D467CD">
        <w:t xml:space="preserve">fficers have experience </w:t>
      </w:r>
      <w:r>
        <w:t>in</w:t>
      </w:r>
      <w:r w:rsidRPr="00D467CD">
        <w:t xml:space="preserve"> bringing mineral assets into production, the Corporation itself does not, and its ability to bring assets into production will be dependent upon using the services of appropriately experienced personnel or entering into agreements with service providers that can provide such expertise. The Corporation</w:t>
      </w:r>
      <w:r>
        <w:t>'</w:t>
      </w:r>
      <w:r w:rsidRPr="00D467CD">
        <w:t xml:space="preserve">s ability to commence, maintain or increase its annual production of ore in the future will be highly dependent on its ability to discover reserves and develop these licenses. Any failure of the </w:t>
      </w:r>
      <w:r>
        <w:t>b</w:t>
      </w:r>
      <w:r w:rsidRPr="00D467CD">
        <w:t xml:space="preserve">oard of </w:t>
      </w:r>
      <w:r>
        <w:t>d</w:t>
      </w:r>
      <w:r w:rsidRPr="00D467CD">
        <w:t>irectors of the Corporation to ensure the Corporation</w:t>
      </w:r>
      <w:r>
        <w:t>'</w:t>
      </w:r>
      <w:r w:rsidRPr="00D467CD">
        <w:t xml:space="preserve">s growth and development could have a material adverse effect on its business, financial condition and results of operations. There is no certainty that all or, indeed, any of the elements of the </w:t>
      </w:r>
      <w:r>
        <w:t>b</w:t>
      </w:r>
      <w:r w:rsidRPr="00D467CD">
        <w:t>oard</w:t>
      </w:r>
      <w:r>
        <w:t>'</w:t>
      </w:r>
      <w:r w:rsidRPr="00D467CD">
        <w:t>s strategy will develop as anticipated. The Corporation</w:t>
      </w:r>
      <w:r>
        <w:t>'</w:t>
      </w:r>
      <w:r w:rsidRPr="00D467CD">
        <w:t>s profitability will depend, in part, on the actual economic returns and the actual costs of developing the licences, which may differ significantly from the Corporation</w:t>
      </w:r>
      <w:r>
        <w:t>'</w:t>
      </w:r>
      <w:r w:rsidRPr="00D467CD">
        <w:t>s current estimates. The development of the licences may be subject to unexpected problems and delays.</w:t>
      </w:r>
    </w:p>
    <w:p w14:paraId="684214FC" w14:textId="77777777" w:rsidR="009633AC" w:rsidRPr="00D467CD" w:rsidRDefault="009633AC" w:rsidP="009633AC">
      <w:pPr>
        <w:pStyle w:val="ProspectusL3"/>
      </w:pPr>
      <w:bookmarkStart w:id="23" w:name="_Toc158752281"/>
      <w:r w:rsidRPr="00D467CD">
        <w:lastRenderedPageBreak/>
        <w:t xml:space="preserve">The </w:t>
      </w:r>
      <w:r w:rsidRPr="00D80C54">
        <w:t>Corporation</w:t>
      </w:r>
      <w:r w:rsidRPr="00D467CD">
        <w:t xml:space="preserve"> relies on third-party service providers, which may fail to perform their contractual obligations, which could have materially adverse effects on the Corporation</w:t>
      </w:r>
      <w:r>
        <w:t>'</w:t>
      </w:r>
      <w:r w:rsidRPr="00D467CD">
        <w:t>s business</w:t>
      </w:r>
      <w:bookmarkEnd w:id="23"/>
    </w:p>
    <w:p w14:paraId="4A2BF64A" w14:textId="77777777" w:rsidR="009633AC" w:rsidRDefault="009633AC" w:rsidP="009633AC">
      <w:pPr>
        <w:pStyle w:val="ProspectusCont3"/>
      </w:pPr>
      <w:r w:rsidRPr="00D467CD">
        <w:t>The Corporation relies in part on products and services provided by third parties in the ordinary course of business. If they fail to perform their contractual obligations, it could have materially adverse effect on the Corporation</w:t>
      </w:r>
      <w:r>
        <w:t>'</w:t>
      </w:r>
      <w:r w:rsidRPr="00D467CD">
        <w:t>s business. As part of its internal risk assessment, the Corporation conducts counterparty risk assessments to ensure that the third parties can supply the necessary services or products in a responsible manner that aligns with the Corporation values.</w:t>
      </w:r>
    </w:p>
    <w:p w14:paraId="1394608F" w14:textId="77777777" w:rsidR="009633AC" w:rsidRDefault="009633AC" w:rsidP="009633AC">
      <w:pPr>
        <w:pStyle w:val="ProspectusCont3"/>
        <w:rPr>
          <w:lang w:val="en-GB"/>
        </w:rPr>
      </w:pPr>
      <w:r w:rsidRPr="00D467CD">
        <w:rPr>
          <w:lang w:val="en-GB"/>
        </w:rPr>
        <w:t>However, the Corporation cannot predict the risk of insolvency or other managerial failure by any third party in future. These events may provide interruption to services or products provided and the Corporation may be unable to find replacements on a timely basis.</w:t>
      </w:r>
    </w:p>
    <w:p w14:paraId="3E49021A" w14:textId="77777777" w:rsidR="009633AC" w:rsidRDefault="009633AC" w:rsidP="009633AC">
      <w:pPr>
        <w:pStyle w:val="ProspectusCont3"/>
        <w:rPr>
          <w:lang w:val="en-GB"/>
        </w:rPr>
      </w:pPr>
      <w:r w:rsidRPr="00D467CD">
        <w:rPr>
          <w:lang w:val="en-GB"/>
        </w:rPr>
        <w:t xml:space="preserve">The </w:t>
      </w:r>
      <w:r w:rsidRPr="00D467CD" w:rsidDel="7A824694">
        <w:rPr>
          <w:lang w:val="en-GB"/>
        </w:rPr>
        <w:t>Corporation</w:t>
      </w:r>
      <w:r w:rsidRPr="00D467CD">
        <w:rPr>
          <w:lang w:val="en-GB"/>
        </w:rPr>
        <w:t xml:space="preserve"> may experience difficulties in sourcing and retaining the services of suitably qualified and/or experienced sub-contractors, and the Corporation may find this more challenging given its Greenlandic operations with most third-party service providers located in other countries. The loss or diminution in the services of suitably qualified and/or experienced sub-contractors or an inability to source or retain necessary sub-contractors or their failure to properly perform their services could have a material and adverse effect on the </w:t>
      </w:r>
      <w:r w:rsidRPr="00D467CD" w:rsidDel="7A824694">
        <w:rPr>
          <w:lang w:val="en-GB"/>
        </w:rPr>
        <w:t>Corporation</w:t>
      </w:r>
      <w:r>
        <w:rPr>
          <w:lang w:val="en-GB"/>
        </w:rPr>
        <w:t>'</w:t>
      </w:r>
      <w:r w:rsidRPr="00D467CD">
        <w:rPr>
          <w:lang w:val="en-GB"/>
        </w:rPr>
        <w:t>s business, results of operations, financial condition and prospects.</w:t>
      </w:r>
    </w:p>
    <w:p w14:paraId="11E2631C" w14:textId="77777777" w:rsidR="009633AC" w:rsidRPr="00D467CD" w:rsidRDefault="009633AC" w:rsidP="009633AC">
      <w:pPr>
        <w:pStyle w:val="ProspectusL3"/>
      </w:pPr>
      <w:bookmarkStart w:id="24" w:name="_Toc158752282"/>
      <w:r w:rsidRPr="00D467CD">
        <w:t>Regulatory Risks</w:t>
      </w:r>
      <w:bookmarkEnd w:id="24"/>
    </w:p>
    <w:p w14:paraId="3500DD79" w14:textId="77777777" w:rsidR="009633AC" w:rsidRDefault="009633AC" w:rsidP="009633AC">
      <w:pPr>
        <w:pStyle w:val="ProspectusCont3"/>
      </w:pPr>
      <w:r w:rsidRPr="00D467CD">
        <w:t>The Corporation</w:t>
      </w:r>
      <w:r>
        <w:t>'</w:t>
      </w:r>
      <w:r w:rsidRPr="00D467CD">
        <w:t>s business is subject to various laws and regulations relating to, among other things, compliance with capital markets, environmental, mining, energy, antitrust, data protection, employment and tax laws and regulations. While the Corporation is not aware of any material breaches of applicable laws and regulations, it can neither guarantee that it has always been in full compliance with such laws and regulations in the past in the jurisdictions in which it operates, nor that it will be able to fully comply with them in the future. The Corporation is reliant on the compliance of its directors and employees with applicable laws and policies implemented by the Corporation and there can be no assurance that directors or employees of the Corporation or third parties acting on the Corporation</w:t>
      </w:r>
      <w:r>
        <w:t>'</w:t>
      </w:r>
      <w:r w:rsidRPr="00D467CD">
        <w:t>s behalf, have not engaged in or will not engage in criminal, unlawful or unethical behaviour.</w:t>
      </w:r>
    </w:p>
    <w:p w14:paraId="7D3D3C8D" w14:textId="77777777" w:rsidR="009633AC" w:rsidRDefault="009633AC" w:rsidP="009633AC">
      <w:pPr>
        <w:pStyle w:val="ProspectusCont3"/>
        <w:rPr>
          <w:lang w:val="en-GB"/>
        </w:rPr>
      </w:pPr>
      <w:r w:rsidRPr="00D467CD">
        <w:rPr>
          <w:lang w:val="en-GB"/>
        </w:rPr>
        <w:t xml:space="preserve">Existing risk management and internal compliance procedures and controls may not be sufficient to prevent or detect inadequate practices, fraud or violations of law by its </w:t>
      </w:r>
      <w:r>
        <w:rPr>
          <w:lang w:val="en-GB"/>
        </w:rPr>
        <w:t>d</w:t>
      </w:r>
      <w:r w:rsidRPr="00D467CD">
        <w:rPr>
          <w:lang w:val="en-GB"/>
        </w:rPr>
        <w:t>irectors, its employees or third parties acting on its behalf. The laws and regulations in the areas and jurisdictions in which the Corporation currently operates or may operate in the future are evolving. Consequently, such laws and regulations may change and sometimes may conflict with each other, making it more difficult to observe and comply with them.</w:t>
      </w:r>
    </w:p>
    <w:p w14:paraId="3148E602" w14:textId="77777777" w:rsidR="009633AC" w:rsidRDefault="009633AC" w:rsidP="009633AC">
      <w:pPr>
        <w:pStyle w:val="ProspectusCont3"/>
        <w:rPr>
          <w:lang w:val="en-GB"/>
        </w:rPr>
      </w:pPr>
      <w:r w:rsidRPr="00D467CD">
        <w:rPr>
          <w:lang w:val="en-GB"/>
        </w:rPr>
        <w:t xml:space="preserve">For example, a new legislation in Canada, the </w:t>
      </w:r>
      <w:r w:rsidRPr="007333C9">
        <w:rPr>
          <w:i/>
          <w:iCs/>
          <w:lang w:val="en-GB"/>
        </w:rPr>
        <w:t>Fighting Against Forced Labour and Child Labour in Supply Chains Act</w:t>
      </w:r>
      <w:r w:rsidRPr="00D467CD">
        <w:rPr>
          <w:lang w:val="en-GB"/>
        </w:rPr>
        <w:t xml:space="preserve"> </w:t>
      </w:r>
      <w:r>
        <w:rPr>
          <w:lang w:val="en-GB"/>
        </w:rPr>
        <w:t>came into force</w:t>
      </w:r>
      <w:r w:rsidRPr="00D467CD">
        <w:rPr>
          <w:lang w:val="en-GB"/>
        </w:rPr>
        <w:t xml:space="preserve"> in 202</w:t>
      </w:r>
      <w:r>
        <w:rPr>
          <w:lang w:val="en-GB"/>
        </w:rPr>
        <w:t>4</w:t>
      </w:r>
      <w:r w:rsidRPr="00D467CD">
        <w:rPr>
          <w:lang w:val="en-GB"/>
        </w:rPr>
        <w:t>. It imposes certain obligations on CBCA incorporated companies in Canada, that meet certain requirements, including a due diligence process and reporting on supply chain risk.</w:t>
      </w:r>
    </w:p>
    <w:p w14:paraId="54ACAD12" w14:textId="77777777" w:rsidR="009633AC" w:rsidRPr="00D467CD" w:rsidRDefault="009633AC" w:rsidP="009633AC">
      <w:pPr>
        <w:pStyle w:val="ProspectusCont3"/>
        <w:rPr>
          <w:lang w:val="en-GB"/>
        </w:rPr>
      </w:pPr>
      <w:r w:rsidRPr="00D467CD">
        <w:rPr>
          <w:lang w:val="en-GB"/>
        </w:rPr>
        <w:t>During 2023 the Corporation adopted the following new policy documents to align its governance framework and elaborate a plan of actions to mitigate the risk involved</w:t>
      </w:r>
      <w:r>
        <w:rPr>
          <w:lang w:val="en-GB"/>
        </w:rPr>
        <w:t>:</w:t>
      </w:r>
      <w:r w:rsidRPr="00D467CD">
        <w:rPr>
          <w:lang w:val="en-GB"/>
        </w:rPr>
        <w:t> </w:t>
      </w:r>
    </w:p>
    <w:p w14:paraId="7F787D47" w14:textId="77777777" w:rsidR="009633AC" w:rsidRPr="00D467CD" w:rsidRDefault="009633AC" w:rsidP="009633AC">
      <w:pPr>
        <w:pStyle w:val="ProspectusL8"/>
      </w:pPr>
      <w:r w:rsidRPr="00625AC4">
        <w:rPr>
          <w:i/>
          <w:iCs/>
        </w:rPr>
        <w:t>Human Rights, Child and Forced Labour Policy</w:t>
      </w:r>
      <w:r w:rsidRPr="00D467CD">
        <w:t xml:space="preserve"> (approved by the </w:t>
      </w:r>
      <w:r>
        <w:t>b</w:t>
      </w:r>
      <w:r w:rsidRPr="00D467CD">
        <w:t xml:space="preserve">oard of </w:t>
      </w:r>
      <w:r>
        <w:t>d</w:t>
      </w:r>
      <w:r w:rsidRPr="00D467CD">
        <w:t>irectors on December</w:t>
      </w:r>
      <w:r>
        <w:t xml:space="preserve"> 22,</w:t>
      </w:r>
      <w:r w:rsidRPr="00D467CD">
        <w:t xml:space="preserve"> 2023). This Policy articulates our commitment to conduct business in a manner that respects the dignity and rights of all individuals impacted by our operations in Greenland. The Corporation adheres to the International Bill of Human Rights and International Labour Organisation</w:t>
      </w:r>
      <w:r>
        <w:t>'</w:t>
      </w:r>
      <w:r w:rsidRPr="00D467CD">
        <w:t>s Declaration on Fundamental Principles and Rights at Work, as amended in 2022.</w:t>
      </w:r>
    </w:p>
    <w:p w14:paraId="4C6B02A8" w14:textId="77777777" w:rsidR="009633AC" w:rsidRPr="00D467CD" w:rsidRDefault="009633AC" w:rsidP="009633AC">
      <w:pPr>
        <w:pStyle w:val="ProspectusL8"/>
      </w:pPr>
      <w:r w:rsidRPr="00625AC4">
        <w:rPr>
          <w:i/>
          <w:iCs/>
        </w:rPr>
        <w:t>Supplier Code of Conduct Policy</w:t>
      </w:r>
      <w:r w:rsidRPr="00D467CD">
        <w:t xml:space="preserve"> (approved by the </w:t>
      </w:r>
      <w:r>
        <w:t>b</w:t>
      </w:r>
      <w:r w:rsidRPr="00D467CD">
        <w:t xml:space="preserve">oard of </w:t>
      </w:r>
      <w:r>
        <w:t>d</w:t>
      </w:r>
      <w:r w:rsidRPr="00D467CD">
        <w:t>irectors on December 22</w:t>
      </w:r>
      <w:r>
        <w:t>,</w:t>
      </w:r>
      <w:r w:rsidRPr="00D467CD">
        <w:t xml:space="preserve"> 2023). The Corporation is committed to create a path of ethical and sustainable business practices in Greenland's mining sector. By adhering to the </w:t>
      </w:r>
      <w:r>
        <w:t>c</w:t>
      </w:r>
      <w:r w:rsidRPr="00D467CD">
        <w:t>ode, our suppliers join us in a commitment to uphold the highest standards of integrity, respect for human rights, and preservation of the environment. </w:t>
      </w:r>
    </w:p>
    <w:p w14:paraId="4051B63B" w14:textId="77777777" w:rsidR="009633AC" w:rsidRPr="00D467CD" w:rsidRDefault="009633AC" w:rsidP="009633AC">
      <w:pPr>
        <w:pStyle w:val="ProspectusL3"/>
      </w:pPr>
      <w:bookmarkStart w:id="25" w:name="_Toc158752283"/>
      <w:r w:rsidRPr="00D467CD">
        <w:lastRenderedPageBreak/>
        <w:t>Undemonstrated economic feasibility of the Nalunaq Property</w:t>
      </w:r>
      <w:bookmarkEnd w:id="25"/>
    </w:p>
    <w:p w14:paraId="19C8CF0D" w14:textId="77777777" w:rsidR="009633AC" w:rsidRPr="00D467CD" w:rsidRDefault="009633AC" w:rsidP="009633AC">
      <w:pPr>
        <w:pStyle w:val="ProspectusCont3"/>
      </w:pPr>
      <w:r w:rsidRPr="00D467CD">
        <w:t xml:space="preserve">The current mineral resources have not yet demonstrated economic viability. The </w:t>
      </w:r>
      <w:r>
        <w:t>i</w:t>
      </w:r>
      <w:r w:rsidRPr="00D467CD">
        <w:t xml:space="preserve">nferred mineral resource estimate included in the </w:t>
      </w:r>
      <w:r>
        <w:t>Nalunaq Report does not</w:t>
      </w:r>
      <w:r w:rsidRPr="00D467CD">
        <w:t xml:space="preserve"> constitute a formal preliminary economic assessment or part of prefeasibility or a feasibility study. The Corporation has not completed a formal preliminary economic assessment or prefeasibility or feasibility level work and analysis that would allow it to declare proven or probable mineral reserves at the Nalunaq Property, and no assurance can be given that it will ever be in a position to declare a proven or probable mineral reserve at the Nalunaq Property. Whether the Corporation succeeds in upgrading the </w:t>
      </w:r>
      <w:r>
        <w:t>i</w:t>
      </w:r>
      <w:r w:rsidRPr="00D467CD">
        <w:t>nferred mineral resource depends on a number of factors, including: (i) the particular attributes of the deposit (including its size, grade and geological formation); (ii) the market price of gold; (iii) government regulations (including regulations relating to taxes, royalties, land tenure, land use and permitting); and (iv) environmental regulations. The Corporation cannot determine at this time whether any of its estimates will ultimately be correct or that the Nalunaq Property will prove to be economically viable. Therefore, it is possible that the Nalunaq Property may never reach production, which would have a material adverse effect on its results of operations and financial condition.</w:t>
      </w:r>
    </w:p>
    <w:p w14:paraId="47BBE27D" w14:textId="77777777" w:rsidR="009633AC" w:rsidRPr="00D467CD" w:rsidRDefault="009633AC" w:rsidP="009633AC">
      <w:pPr>
        <w:pStyle w:val="ProspectusL3"/>
      </w:pPr>
      <w:bookmarkStart w:id="26" w:name="_Toc158752284"/>
      <w:r w:rsidRPr="00D467CD">
        <w:t>Historical costs and operational data may not be available, or may not be an appropriate measure for assessing the future economics of the assets</w:t>
      </w:r>
      <w:bookmarkEnd w:id="26"/>
    </w:p>
    <w:p w14:paraId="0DECBB2B" w14:textId="77777777" w:rsidR="009633AC" w:rsidRDefault="009633AC" w:rsidP="009633AC">
      <w:pPr>
        <w:pStyle w:val="ProspectusCont3"/>
      </w:pPr>
      <w:r w:rsidRPr="00D467CD">
        <w:t>The majority of the Corporation</w:t>
      </w:r>
      <w:r>
        <w:t>'</w:t>
      </w:r>
      <w:r w:rsidRPr="00D467CD">
        <w:t xml:space="preserve">s mineral licences had no previous operations and there is no historical data from which an assessment of commercial viability can be made. While the Nalunaq Property has an operating history, the Exploration Target potential over and above the </w:t>
      </w:r>
      <w:r>
        <w:t>i</w:t>
      </w:r>
      <w:r w:rsidRPr="00D467CD">
        <w:t>nferred mineral resource, may represent the long-term future of the Nalunaq Property, it is at an early stage. Future mining and processing methods may differ to those used historically and thus historical operating costs, capital spending, site remediation costs or asset retirement obligations may not be applicable as benchmarks.</w:t>
      </w:r>
    </w:p>
    <w:p w14:paraId="4DD5075C" w14:textId="77777777" w:rsidR="009633AC" w:rsidRDefault="009633AC" w:rsidP="009633AC">
      <w:pPr>
        <w:pStyle w:val="ProspectusCont3"/>
        <w:rPr>
          <w:lang w:val="en-GB"/>
        </w:rPr>
      </w:pPr>
      <w:r w:rsidRPr="00D467CD">
        <w:rPr>
          <w:lang w:val="en-GB"/>
        </w:rPr>
        <w:t>The Vagar and Nanoq licences host several gold prospects. The exploration activities on both licenses are at an early stage with no operating history upon which to base estimates of future operating costs, future capital spending requirements or future site remediation costs.</w:t>
      </w:r>
    </w:p>
    <w:p w14:paraId="00882ABE" w14:textId="77777777" w:rsidR="009633AC" w:rsidRPr="00D467CD" w:rsidRDefault="009633AC" w:rsidP="009633AC">
      <w:pPr>
        <w:pStyle w:val="ProspectusCont3"/>
        <w:rPr>
          <w:lang w:val="en-GB"/>
        </w:rPr>
      </w:pPr>
      <w:r w:rsidRPr="00D467CD">
        <w:rPr>
          <w:lang w:val="en-GB"/>
        </w:rPr>
        <w:t>The Sava, Stendalen, Paatusoq and Kobberminebugt licences host strategic minerals and base metals. All Properties are at an early stage of exploration and have no operating history upon which to base estimates of future operating costs, future capital spending requirements or future site remediation costs.</w:t>
      </w:r>
    </w:p>
    <w:p w14:paraId="02DC7818" w14:textId="77777777" w:rsidR="009633AC" w:rsidRPr="00D467CD" w:rsidRDefault="009633AC" w:rsidP="009633AC">
      <w:pPr>
        <w:pStyle w:val="ProspectusL3"/>
      </w:pPr>
      <w:bookmarkStart w:id="27" w:name="_Toc158752285"/>
      <w:r w:rsidRPr="00D467CD">
        <w:t>The adverse effect on a Corporation due to loss of certain key individuals and lack of insurance to compensate such loss</w:t>
      </w:r>
      <w:bookmarkEnd w:id="27"/>
    </w:p>
    <w:p w14:paraId="5EF7E59E" w14:textId="77777777" w:rsidR="009633AC" w:rsidRDefault="009633AC" w:rsidP="009633AC">
      <w:pPr>
        <w:pStyle w:val="ProspectusCont3"/>
      </w:pPr>
      <w:r w:rsidRPr="00D467CD">
        <w:t>The Corporation</w:t>
      </w:r>
      <w:r>
        <w:t>'</w:t>
      </w:r>
      <w:r w:rsidRPr="00D467CD">
        <w:t>s success depends to a degree upon certain key members of the management. Those individuals have developed important government and industry relationships; they have historic knowledge of the Properties which is not recorded in tangible form or shared through data rooms; and they have extensive experience of operating in Greenland. They are a significant factor in the Corporation</w:t>
      </w:r>
      <w:r>
        <w:t>'</w:t>
      </w:r>
      <w:r w:rsidRPr="00D467CD">
        <w:t>s growth and success. The loss of such individuals could result in delays in developing the Properties and have a material adverse effect on the Corporation.</w:t>
      </w:r>
    </w:p>
    <w:p w14:paraId="6730CCE0" w14:textId="77777777" w:rsidR="009633AC" w:rsidRPr="00D467CD" w:rsidRDefault="009633AC" w:rsidP="009633AC">
      <w:pPr>
        <w:pStyle w:val="ProspectusCont3"/>
        <w:rPr>
          <w:lang w:val="en-GB"/>
        </w:rPr>
      </w:pPr>
      <w:r w:rsidRPr="00D467CD">
        <w:rPr>
          <w:lang w:val="en-GB"/>
        </w:rPr>
        <w:t xml:space="preserve">The Corporation does not currently have key man insurance in place in respect of any of its directors or officers nor does the Corporation plan to introduce such insurance. </w:t>
      </w:r>
    </w:p>
    <w:p w14:paraId="5630A33C" w14:textId="77777777" w:rsidR="009633AC" w:rsidRPr="00D467CD" w:rsidRDefault="009633AC" w:rsidP="009633AC">
      <w:pPr>
        <w:pStyle w:val="ProspectusL3"/>
      </w:pPr>
      <w:bookmarkStart w:id="28" w:name="_Toc158752286"/>
      <w:r w:rsidRPr="00D467CD">
        <w:t>The Corporation may experience difficulty attracting and retaining qualified staff to meet the needs of its anticipated growth</w:t>
      </w:r>
      <w:bookmarkEnd w:id="28"/>
    </w:p>
    <w:p w14:paraId="22F32A49" w14:textId="77777777" w:rsidR="009633AC" w:rsidRPr="00D467CD" w:rsidRDefault="009633AC" w:rsidP="009633AC">
      <w:pPr>
        <w:pStyle w:val="ProspectusCont3"/>
      </w:pPr>
      <w:r w:rsidRPr="00D467CD">
        <w:t>Recruiting and retaining qualified personnel is critical to the Corporation</w:t>
      </w:r>
      <w:r>
        <w:t>'</w:t>
      </w:r>
      <w:r w:rsidRPr="00D467CD">
        <w:t>s success. The number of persons skilled in the acquisition, exploration and development of mining properties is limited and competition for such persons is intense. To manage its growth, the Corporation may have to attract and retain additional highly qualified management, financial and technical personnel and continue to implement and improve operational, financial and management information systems. Although the Corporation believes that it will be successful in attracting and retaining qualified personnel, there can be no assurance of such success. Failure to attract, recruit and retain key management and key employees with the acquired knowledge may delay the Corporation</w:t>
      </w:r>
      <w:r>
        <w:t>'</w:t>
      </w:r>
      <w:r w:rsidRPr="00D467CD">
        <w:t>s achievement of its business objectives significantly and could have a material adverse effect on the Corporation</w:t>
      </w:r>
      <w:r>
        <w:t>'</w:t>
      </w:r>
      <w:r w:rsidRPr="00D467CD">
        <w:t>s business.</w:t>
      </w:r>
    </w:p>
    <w:p w14:paraId="65AA052A" w14:textId="77777777" w:rsidR="009633AC" w:rsidRPr="00D467CD" w:rsidRDefault="009633AC" w:rsidP="009633AC">
      <w:pPr>
        <w:pStyle w:val="ProspectusL3"/>
      </w:pPr>
      <w:bookmarkStart w:id="29" w:name="_Toc158752287"/>
      <w:r w:rsidRPr="00D467CD">
        <w:lastRenderedPageBreak/>
        <w:t>The ability of a shareholder outside Canada to bring an action against the Corporation may be limited under law</w:t>
      </w:r>
      <w:bookmarkEnd w:id="29"/>
    </w:p>
    <w:p w14:paraId="46950382" w14:textId="77777777" w:rsidR="009633AC" w:rsidRPr="00D467CD" w:rsidRDefault="009633AC" w:rsidP="009633AC">
      <w:pPr>
        <w:pStyle w:val="ProspectusCont3"/>
      </w:pPr>
      <w:r w:rsidRPr="00D467CD">
        <w:t xml:space="preserve">The ability of the </w:t>
      </w:r>
      <w:r>
        <w:t>s</w:t>
      </w:r>
      <w:r w:rsidRPr="00D467CD">
        <w:t xml:space="preserve">hareholders to bring actions or enforce judgements against the Corporation or the members of the </w:t>
      </w:r>
      <w:r>
        <w:t>b</w:t>
      </w:r>
      <w:r w:rsidRPr="00D467CD">
        <w:t xml:space="preserve">oard may be limited. The ability of </w:t>
      </w:r>
      <w:r>
        <w:t>s</w:t>
      </w:r>
      <w:r w:rsidRPr="00D467CD">
        <w:t xml:space="preserve">hareholders outside Canada to bring an action against the Corporation may be limited under law. The Corporation is incorporated under the </w:t>
      </w:r>
      <w:r>
        <w:t>CBCA</w:t>
      </w:r>
      <w:r w:rsidRPr="00D467CD">
        <w:t>. The rights of holders of Common Shares are governed by the CBCA and by the Corporation</w:t>
      </w:r>
      <w:r>
        <w:t>'</w:t>
      </w:r>
      <w:r w:rsidRPr="00D467CD">
        <w:t xml:space="preserve">s </w:t>
      </w:r>
      <w:r>
        <w:t>a</w:t>
      </w:r>
      <w:r w:rsidRPr="00D467CD">
        <w:t xml:space="preserve">rticles of </w:t>
      </w:r>
      <w:r>
        <w:t>i</w:t>
      </w:r>
      <w:r w:rsidRPr="00D467CD">
        <w:t xml:space="preserve">ncorporation and </w:t>
      </w:r>
      <w:r>
        <w:t>b</w:t>
      </w:r>
      <w:r w:rsidRPr="00D467CD">
        <w:t>y-</w:t>
      </w:r>
      <w:r>
        <w:t>l</w:t>
      </w:r>
      <w:r w:rsidRPr="00D467CD">
        <w:t xml:space="preserve">aws. These rights differ from the rights of shareholders in typical Icelandic companies. A shareholder outside Canada may not be able to enforce a judgement against the Corporation or some or all of the </w:t>
      </w:r>
      <w:r>
        <w:t>d</w:t>
      </w:r>
      <w:r w:rsidRPr="00D467CD">
        <w:t xml:space="preserve">irectors and executive officers. Consequently, it may not be possible for a shareholder outside Canada to effect service of process upon the Corporation or the </w:t>
      </w:r>
      <w:r>
        <w:t>d</w:t>
      </w:r>
      <w:r w:rsidRPr="00D467CD">
        <w:t>irectors and executive officers within the shareholder</w:t>
      </w:r>
      <w:r>
        <w:t>'</w:t>
      </w:r>
      <w:r w:rsidRPr="00D467CD">
        <w:t xml:space="preserve">s country of residence or to enforce against the Corporation or the </w:t>
      </w:r>
      <w:r>
        <w:t>d</w:t>
      </w:r>
      <w:r w:rsidRPr="00D467CD">
        <w:t>irectors and executive officers within the shareholder</w:t>
      </w:r>
      <w:r>
        <w:t>'</w:t>
      </w:r>
      <w:r w:rsidRPr="00D467CD">
        <w:t xml:space="preserve">s country of residence or to bring an action against the Corporation. There can be no assurance that a shareholder will be able to enforce any judgements in civil and commercial matters or any judgements under the securities laws of countries other than Canada against the Corporation or the </w:t>
      </w:r>
      <w:r>
        <w:t>d</w:t>
      </w:r>
      <w:r w:rsidRPr="00D467CD">
        <w:t xml:space="preserve">irectors or executive officers who are residents of Iceland or countries other than those in which judgement is made. In addition, Canadian or other courts may not impose civil liability on the Corporation or the </w:t>
      </w:r>
      <w:r>
        <w:t>d</w:t>
      </w:r>
      <w:r w:rsidRPr="00D467CD">
        <w:t xml:space="preserve">irectors or executive officers in any original action based solely on foreign securities laws brought against the Corporation or the </w:t>
      </w:r>
      <w:r>
        <w:t>d</w:t>
      </w:r>
      <w:r w:rsidRPr="00D467CD">
        <w:t>irectors in a court of competent jurisdiction in Iceland or other countries.</w:t>
      </w:r>
    </w:p>
    <w:p w14:paraId="5DB4779A" w14:textId="77777777" w:rsidR="009633AC" w:rsidRPr="00D467CD" w:rsidRDefault="009633AC" w:rsidP="009633AC">
      <w:pPr>
        <w:pStyle w:val="ProspectusL3"/>
      </w:pPr>
      <w:bookmarkStart w:id="30" w:name="_Toc158752288"/>
      <w:r w:rsidRPr="00D467CD">
        <w:t>Internal controls</w:t>
      </w:r>
      <w:bookmarkEnd w:id="30"/>
    </w:p>
    <w:p w14:paraId="6F5D45EE" w14:textId="77777777" w:rsidR="009633AC" w:rsidRPr="00D467CD" w:rsidRDefault="009633AC" w:rsidP="009633AC">
      <w:pPr>
        <w:pStyle w:val="ProspectusCont3"/>
      </w:pPr>
      <w:r w:rsidRPr="00D467CD">
        <w:t>The Corporation has established a system of internal controls for financial reporting. Effective internal controls are necessary for the Corporation to provide reliable financial reports and to help prevent fraud. Although the Corporation has procedures in place in order to help ensure the reliability of its financial reports, including those imposed on it under Canadian and Icelandic securities laws as well as the rules and policies of the exchanges on which the Corporation is listed or quoted (TSX-V</w:t>
      </w:r>
      <w:r>
        <w:t xml:space="preserve"> Exchange</w:t>
      </w:r>
      <w:r w:rsidRPr="00D467CD">
        <w:t>, AIM and Nasdaq), the Corporation cannot be certain that such measures will ensure that the Corporation will maintain adequate control over financial processes and reporting. Failure to implement required controls, or difficulties encountered in their implementation, could harm the Corporation</w:t>
      </w:r>
      <w:r>
        <w:t>'</w:t>
      </w:r>
      <w:r w:rsidRPr="00D467CD">
        <w:t>s results of operations, or cause it to fail to meet its reporting obligations. If a material weakness is discovered, the disclosure of that fact, even if quickly remedied, could reduce the market</w:t>
      </w:r>
      <w:r>
        <w:t>'</w:t>
      </w:r>
      <w:r w:rsidRPr="00D467CD">
        <w:t>s confidence in the Corporation</w:t>
      </w:r>
      <w:r>
        <w:t>'</w:t>
      </w:r>
      <w:r w:rsidRPr="00D467CD">
        <w:t xml:space="preserve">s financial statements and adversely affect the market price of the </w:t>
      </w:r>
      <w:r>
        <w:t xml:space="preserve">Common </w:t>
      </w:r>
      <w:r w:rsidRPr="00D467CD">
        <w:t xml:space="preserve">Shares or other </w:t>
      </w:r>
      <w:r>
        <w:t>s</w:t>
      </w:r>
      <w:r w:rsidRPr="00D467CD">
        <w:t>ecurities and the reputation of the Corporation.</w:t>
      </w:r>
    </w:p>
    <w:p w14:paraId="6850A662" w14:textId="77777777" w:rsidR="009633AC" w:rsidRPr="00D467CD" w:rsidRDefault="009633AC" w:rsidP="009633AC">
      <w:pPr>
        <w:pStyle w:val="ProspectusL3"/>
      </w:pPr>
      <w:bookmarkStart w:id="31" w:name="_Toc158752289"/>
      <w:r w:rsidRPr="00D467CD">
        <w:t>The Corporation is exposed to risks from potential future litigation and other legal and regulatory actions and risks, and could incur significant liabilities and substantial legal fees.</w:t>
      </w:r>
      <w:bookmarkEnd w:id="31"/>
    </w:p>
    <w:p w14:paraId="790BDF3B" w14:textId="77777777" w:rsidR="009633AC" w:rsidRDefault="009633AC" w:rsidP="009633AC">
      <w:pPr>
        <w:pStyle w:val="ProspectusCont3"/>
      </w:pPr>
      <w:r w:rsidRPr="00D467CD">
        <w:t xml:space="preserve">While the </w:t>
      </w:r>
      <w:r>
        <w:t>Corporation</w:t>
      </w:r>
      <w:r w:rsidRPr="00D467CD">
        <w:t xml:space="preserve"> is not aware of any current or anticipated litigation, the </w:t>
      </w:r>
      <w:r>
        <w:t>Corporation</w:t>
      </w:r>
      <w:r w:rsidRPr="00D467CD">
        <w:t xml:space="preserve"> may become a party to legal disputes, administrative proceedings and government investigations. Such legal disputes, proceedings and investigations may, in particular, arise from its relationships with its contractual counterparties or public authorities and could allege, among other things, breaches of contract, tort or the failure to comply with applicable laws and regulations. There may also be investigations by governmental authorities into circumstances of which the Corporation is not currently aware or which may arise in the future, including possible regulatory and environmental complaints, licencing challenges or criminal proceedings.</w:t>
      </w:r>
    </w:p>
    <w:p w14:paraId="577FCE46" w14:textId="77777777" w:rsidR="009633AC" w:rsidRPr="00D467CD" w:rsidRDefault="009633AC" w:rsidP="009633AC">
      <w:pPr>
        <w:pStyle w:val="ProspectusCont3"/>
        <w:rPr>
          <w:lang w:val="en-GB"/>
        </w:rPr>
      </w:pPr>
      <w:r w:rsidRPr="00D467CD">
        <w:rPr>
          <w:lang w:val="en-GB"/>
        </w:rPr>
        <w:t>If the Corporation were to be found liable under any such claims, lawsuits or investigations it might be required to pay damages or fines and to take, or refrain from taking, certain actions and it could incur substantial costs and divert substantial amounts of management</w:t>
      </w:r>
      <w:r>
        <w:rPr>
          <w:lang w:val="en-GB"/>
        </w:rPr>
        <w:t>'</w:t>
      </w:r>
      <w:r w:rsidRPr="00D467CD">
        <w:rPr>
          <w:lang w:val="en-GB"/>
        </w:rPr>
        <w:t>s time in dealing with them, even if they are unsuccessful, any of which could adversely affect its business, net assets, financial condition, cash flow, and results of operations.</w:t>
      </w:r>
    </w:p>
    <w:p w14:paraId="5D192660" w14:textId="77777777" w:rsidR="009633AC" w:rsidRPr="00D467CD" w:rsidRDefault="009633AC" w:rsidP="009633AC">
      <w:pPr>
        <w:pStyle w:val="ProspectusL3"/>
      </w:pPr>
      <w:bookmarkStart w:id="32" w:name="_Toc158752290"/>
      <w:r w:rsidRPr="00D467CD">
        <w:t>Information systems security threats</w:t>
      </w:r>
      <w:bookmarkEnd w:id="32"/>
    </w:p>
    <w:p w14:paraId="28E20DA3" w14:textId="77777777" w:rsidR="009633AC" w:rsidRDefault="009633AC" w:rsidP="009633AC">
      <w:pPr>
        <w:pStyle w:val="ProspectusCont3"/>
      </w:pPr>
      <w:r w:rsidRPr="00D467CD">
        <w:t>The Corporation</w:t>
      </w:r>
      <w:r>
        <w:t>'</w:t>
      </w:r>
      <w:r w:rsidRPr="00D467CD">
        <w:t>s operations depend upon information technology systems which may be subject to disruption, damage, or failure from different sources, including, without limitation, installation of malicious software, computer viruses, security breaches, cyber-attacks, and defects in design.</w:t>
      </w:r>
    </w:p>
    <w:p w14:paraId="0331FB1D" w14:textId="77777777" w:rsidR="009633AC" w:rsidRDefault="009633AC" w:rsidP="009633AC">
      <w:pPr>
        <w:pStyle w:val="ProspectusCont3"/>
        <w:rPr>
          <w:lang w:val="en-GB"/>
        </w:rPr>
      </w:pPr>
      <w:r w:rsidRPr="00D467CD">
        <w:rPr>
          <w:lang w:val="en-GB"/>
        </w:rPr>
        <w:lastRenderedPageBreak/>
        <w:t>The Corporation may experience security breaches or unexpected disruptions to it systems which could in turn, result in liabilities or losses to the Corporation and have an adverse effect on the Corporation</w:t>
      </w:r>
      <w:r>
        <w:rPr>
          <w:lang w:val="en-GB"/>
        </w:rPr>
        <w:t>'</w:t>
      </w:r>
      <w:r w:rsidRPr="00D467CD">
        <w:rPr>
          <w:lang w:val="en-GB"/>
        </w:rPr>
        <w:t>s business.</w:t>
      </w:r>
    </w:p>
    <w:p w14:paraId="2F7B334B" w14:textId="77777777" w:rsidR="009633AC" w:rsidRPr="00D467CD" w:rsidRDefault="009633AC" w:rsidP="009633AC">
      <w:pPr>
        <w:pStyle w:val="ProspectusCont3"/>
        <w:rPr>
          <w:lang w:val="en-GB"/>
        </w:rPr>
      </w:pPr>
      <w:r w:rsidRPr="00D467CD">
        <w:rPr>
          <w:lang w:val="en-GB"/>
        </w:rPr>
        <w:t>Although to date the Corporation has not experienced any material losses relating to cyber-attacks or other information security breaches, there can be no assurance that it will not incur such losses in the future. The Corporation</w:t>
      </w:r>
      <w:r>
        <w:rPr>
          <w:lang w:val="en-GB"/>
        </w:rPr>
        <w:t>'</w:t>
      </w:r>
      <w:r w:rsidRPr="00D467CD">
        <w:rPr>
          <w:lang w:val="en-GB"/>
        </w:rPr>
        <w:t>s risk and exposure to these matters cannot be fully mitigated because of, among other things, the evolving nature of these threats. As a result, cyber security and the continued development and enhancement of controls, processes and practices designed to protect systems, computers, software, data and networks from attack, damage or unauthorized access remain a priority. As cyber threats continue to evolve, the Corporation may be required to expend additional resources to continue to modify or enhance protective measures or to investigate and remediate any security vulnerabilities.</w:t>
      </w:r>
    </w:p>
    <w:p w14:paraId="246BA116" w14:textId="77777777" w:rsidR="009633AC" w:rsidRPr="00D467CD" w:rsidRDefault="009633AC" w:rsidP="009633AC">
      <w:pPr>
        <w:pStyle w:val="ProspectusL2"/>
      </w:pPr>
      <w:bookmarkStart w:id="33" w:name="_Toc158752291"/>
      <w:r w:rsidRPr="00D467CD">
        <w:t xml:space="preserve">Risks </w:t>
      </w:r>
      <w:r>
        <w:t>R</w:t>
      </w:r>
      <w:r w:rsidRPr="00D467CD">
        <w:t xml:space="preserve">elated to the </w:t>
      </w:r>
      <w:r>
        <w:t>I</w:t>
      </w:r>
      <w:r w:rsidRPr="00D467CD">
        <w:t>ndustry</w:t>
      </w:r>
      <w:bookmarkEnd w:id="33"/>
    </w:p>
    <w:p w14:paraId="500F957E" w14:textId="77777777" w:rsidR="009633AC" w:rsidRPr="00D467CD" w:rsidRDefault="009633AC" w:rsidP="009633AC">
      <w:pPr>
        <w:pStyle w:val="ProspectusL3"/>
      </w:pPr>
      <w:bookmarkStart w:id="34" w:name="_Toc158752292"/>
      <w:r w:rsidRPr="00D467CD">
        <w:t>Mineral exploration and associated activities are speculative in nature</w:t>
      </w:r>
      <w:bookmarkEnd w:id="34"/>
    </w:p>
    <w:p w14:paraId="00E6EE13" w14:textId="77777777" w:rsidR="009633AC" w:rsidRDefault="009633AC" w:rsidP="009633AC">
      <w:pPr>
        <w:pStyle w:val="ProspectusCont3"/>
      </w:pPr>
      <w:r w:rsidRPr="00D467CD">
        <w:t>Mineral exploration is a speculative business, characteri</w:t>
      </w:r>
      <w:r>
        <w:t>z</w:t>
      </w:r>
      <w:r w:rsidRPr="00D467CD">
        <w:t>ed by a number of significant risks including, among other things, unprofitable efforts resulting not only from the failure to discover mineral deposits but from finding mineral deposits which, although present, are insufficient in quantity and quality to return a profit from production. The marketability of minerals acquired or discovered by the Corporation may be affected by numerous factors which are beyond the control of the Corporation and which cannot be accurately predicted, such as market fluctuations, the proximity and capacity of milling facilities, mineral markets and processing equipment and such other factors as government regulations, including regulations relating to royalties, allowable production, importing and exporting of minerals and environmental protection, the combination of which factors may result in the Corporation not receiving an adequate return on investment capital.</w:t>
      </w:r>
    </w:p>
    <w:p w14:paraId="36480693" w14:textId="77777777" w:rsidR="009633AC" w:rsidRDefault="009633AC" w:rsidP="009633AC">
      <w:pPr>
        <w:pStyle w:val="ProspectusCont3"/>
        <w:rPr>
          <w:lang w:val="en-GB"/>
        </w:rPr>
      </w:pPr>
      <w:r w:rsidRPr="00D467CD">
        <w:rPr>
          <w:lang w:val="en-GB"/>
        </w:rPr>
        <w:t>Substantial expenditures are required to establish ore reserves through drilling, to develop metallurgical processes to extract the metal from the ore and, in the case of new properties, to develop the mining and processing facilities and infrastructure at any site chosen for mining. Although substantial benefits may be derived from the discovery of a major minerali</w:t>
      </w:r>
      <w:r>
        <w:rPr>
          <w:lang w:val="en-GB"/>
        </w:rPr>
        <w:t>z</w:t>
      </w:r>
      <w:r w:rsidRPr="00D467CD">
        <w:rPr>
          <w:lang w:val="en-GB"/>
        </w:rPr>
        <w:t>ed deposit, no assurance can be given that minerals will be discovered in sufficient quantities and grades to justify commercial operations or that funds required for development can be obtained on a timely basis. Estimates of mineral reserves, mineral resources and production costs can also be affected by such factors as environmental permitting regulations and requirements, weather, environmental factors, unforeseen technical difficulties, unusual or unexpected geological formations and work interruptions. In addition, the grade of ore ultimately mined may differ from that indicated by drilling results. Short term factors relating to reserves, such as the need for orderly development of ore bodies or the processing of new or different grades, may also have an adverse effect on mining operations and on the results of operations. Material changes in ore reserves, grades, stripping ratios or recovery rates may affect the economic viability of any project.</w:t>
      </w:r>
    </w:p>
    <w:p w14:paraId="04310DAC" w14:textId="77777777" w:rsidR="009633AC" w:rsidRPr="00D467CD" w:rsidRDefault="009633AC" w:rsidP="009633AC">
      <w:pPr>
        <w:pStyle w:val="ProspectusL3"/>
      </w:pPr>
      <w:bookmarkStart w:id="35" w:name="_Toc158752293"/>
      <w:r w:rsidRPr="00D467CD">
        <w:t>Title to the Properties cannot be guaranteed and may be subject to prior unregistered agreements, transfers or claims and other defects</w:t>
      </w:r>
      <w:bookmarkEnd w:id="35"/>
    </w:p>
    <w:p w14:paraId="68E63D5F" w14:textId="77777777" w:rsidR="009633AC" w:rsidRPr="00D467CD" w:rsidRDefault="009633AC" w:rsidP="009633AC">
      <w:pPr>
        <w:pStyle w:val="ProspectusCont3"/>
      </w:pPr>
      <w:r w:rsidRPr="00D467CD">
        <w:t>The Corporation cannot guarantee that title to the Properties will not be challenged. Title insurance is generally not available for mineral properties and the Corporation</w:t>
      </w:r>
      <w:r>
        <w:t>'</w:t>
      </w:r>
      <w:r w:rsidRPr="00D467CD">
        <w:t>s ability to ensure that it has obtained secure claim to individual mineral properties or mining concessions may be severely constrained. The Properties may be subject to prior unregistered agreements, transfers or claims, and title may be affected by, among other things, undetected defects. A successful challenge to the precise area and location of these mineral rights could result in the Corporation being unable to operate on the Properties as permitted or being unable to enforce its rights with respect to the Properties.</w:t>
      </w:r>
    </w:p>
    <w:p w14:paraId="63CD6710" w14:textId="77777777" w:rsidR="009633AC" w:rsidRPr="00D467CD" w:rsidRDefault="009633AC" w:rsidP="009633AC">
      <w:pPr>
        <w:pStyle w:val="ProspectusL3"/>
      </w:pPr>
      <w:bookmarkStart w:id="36" w:name="_Toc137379986"/>
      <w:bookmarkStart w:id="37" w:name="_Toc137380227"/>
      <w:bookmarkStart w:id="38" w:name="_Toc158752294"/>
      <w:bookmarkEnd w:id="36"/>
      <w:bookmarkEnd w:id="37"/>
      <w:r w:rsidRPr="00D467CD">
        <w:t>Development and exploration activities depend, to one degree or another, on adequate infrastructure</w:t>
      </w:r>
      <w:bookmarkEnd w:id="38"/>
    </w:p>
    <w:p w14:paraId="59F7ACD3" w14:textId="77777777" w:rsidR="009633AC" w:rsidRPr="00D467CD" w:rsidRDefault="009633AC" w:rsidP="009633AC">
      <w:pPr>
        <w:pStyle w:val="ProspectusCont3"/>
      </w:pPr>
      <w:r w:rsidRPr="00D467CD">
        <w:t>Reliable roads, bridges, power sources and water supply are important determinants which affect capital and operating costs and are made more challenging through Greenland</w:t>
      </w:r>
      <w:r>
        <w:t>'</w:t>
      </w:r>
      <w:r w:rsidRPr="00D467CD">
        <w:t>s nascent mining industry, low population density, and the remote location of the Corporation</w:t>
      </w:r>
      <w:r>
        <w:t>'</w:t>
      </w:r>
      <w:r w:rsidRPr="00D467CD">
        <w:t>s assets. The Corporation</w:t>
      </w:r>
      <w:r>
        <w:t>'</w:t>
      </w:r>
      <w:r w:rsidRPr="00D467CD">
        <w:t xml:space="preserve">s inability to secure adequate water and power resources, as well as other events such as unusual or infrequent weather phenomena, sabotage, government or other interference </w:t>
      </w:r>
      <w:r w:rsidRPr="00D467CD">
        <w:lastRenderedPageBreak/>
        <w:t>in the maintenance or provision of such infrastructure could adversely affect the Corporation</w:t>
      </w:r>
      <w:r>
        <w:t>'</w:t>
      </w:r>
      <w:r w:rsidRPr="00D467CD">
        <w:t>s operations, financial condition and results of operations.</w:t>
      </w:r>
    </w:p>
    <w:p w14:paraId="0DADF698" w14:textId="77777777" w:rsidR="009633AC" w:rsidRPr="00D467CD" w:rsidRDefault="009633AC" w:rsidP="009633AC">
      <w:pPr>
        <w:pStyle w:val="ProspectusL3"/>
      </w:pPr>
      <w:bookmarkStart w:id="39" w:name="_Toc158752295"/>
      <w:r w:rsidRPr="00D467CD">
        <w:t xml:space="preserve">There is no assurance as to the </w:t>
      </w:r>
      <w:r>
        <w:t>Corporation'</w:t>
      </w:r>
      <w:r w:rsidRPr="00D467CD">
        <w:t>s ability to sustain and expand mineral resources</w:t>
      </w:r>
      <w:bookmarkEnd w:id="39"/>
    </w:p>
    <w:p w14:paraId="65D9D3D2" w14:textId="77777777" w:rsidR="009633AC" w:rsidRDefault="009633AC" w:rsidP="009633AC">
      <w:pPr>
        <w:pStyle w:val="ProspectusCont3"/>
      </w:pPr>
      <w:r w:rsidRPr="00D467CD">
        <w:t>The life of a mining operation is limited to its mineral resources and reserves.</w:t>
      </w:r>
    </w:p>
    <w:p w14:paraId="70A01EBD" w14:textId="77777777" w:rsidR="009633AC" w:rsidRPr="00D467CD" w:rsidRDefault="009633AC" w:rsidP="009633AC">
      <w:pPr>
        <w:pStyle w:val="ProspectusCont3"/>
      </w:pPr>
      <w:r w:rsidRPr="00D467CD">
        <w:t xml:space="preserve">Many factors are involved in the determination of the economic viability of a mineral deposit including the achievement of satisfactory mineral resource and </w:t>
      </w:r>
      <w:r>
        <w:t>r</w:t>
      </w:r>
      <w:r w:rsidRPr="00D467CD">
        <w:t xml:space="preserve">eserve estimates, the level of estimated metallurgical recoveries, capital and operating cost estimates and the estimate of future commodity prices and exchange rates. Capital and operating cost estimates are based upon many factors, including anticipated tonnage and grades of ore to be mined and processed, the configuration of the ore body, ground and mining conditions, expected recovery rates of gold from the ore and anticipated environmental and regulatory compliance costs. Each of these factors involve uncertainties and as a result the Corporation cannot give assurance that </w:t>
      </w:r>
      <w:r>
        <w:t>its</w:t>
      </w:r>
      <w:r w:rsidRPr="00D467CD">
        <w:t xml:space="preserve"> development of the Properties will become operating mines. If a mine is developed, actual operating results may differ from those anticipated, thereby impacting the economic viability of the mine and Property.</w:t>
      </w:r>
    </w:p>
    <w:p w14:paraId="49C837BD" w14:textId="77777777" w:rsidR="009633AC" w:rsidRPr="00D467CD" w:rsidRDefault="009633AC" w:rsidP="009633AC">
      <w:pPr>
        <w:pStyle w:val="ProspectusL3"/>
      </w:pPr>
      <w:bookmarkStart w:id="40" w:name="_Toc158752296"/>
      <w:r w:rsidRPr="00D467CD">
        <w:t>The Corporation depends on the Properties and there is no assurance that the Corporation will be able to acquire other properties either due to availability, competition or approval</w:t>
      </w:r>
      <w:bookmarkEnd w:id="40"/>
    </w:p>
    <w:p w14:paraId="210F29E6" w14:textId="77777777" w:rsidR="009633AC" w:rsidRDefault="009633AC" w:rsidP="009633AC">
      <w:pPr>
        <w:pStyle w:val="ProspectusCont3"/>
      </w:pPr>
      <w:r w:rsidRPr="00D467CD">
        <w:t>The Properties are the only material properties of the Corporation. Any material adverse development affecting the progress of the Properties, in particular the Nalunaq Property, will have a material adverse effect on the Corporation</w:t>
      </w:r>
      <w:r>
        <w:t>'</w:t>
      </w:r>
      <w:r w:rsidRPr="00D467CD">
        <w:t>s financial condition and results of operations.</w:t>
      </w:r>
    </w:p>
    <w:p w14:paraId="5DC72708" w14:textId="77777777" w:rsidR="009633AC" w:rsidRPr="00D467CD" w:rsidRDefault="009633AC" w:rsidP="009633AC">
      <w:pPr>
        <w:pStyle w:val="ProspectusCont3"/>
      </w:pPr>
      <w:r w:rsidRPr="00D467CD">
        <w:t>If the Corporation loses or abandons its interest in the Properties, there is no assurance that it will be able to acquire another mineral property of merit, whether by way of direct acquisition, option or otherwise.</w:t>
      </w:r>
    </w:p>
    <w:p w14:paraId="3C314CE0" w14:textId="77777777" w:rsidR="009633AC" w:rsidRPr="00D467CD" w:rsidRDefault="009633AC" w:rsidP="009633AC">
      <w:pPr>
        <w:pStyle w:val="ProspectusL3"/>
      </w:pPr>
      <w:bookmarkStart w:id="41" w:name="_Toc158752297"/>
      <w:r w:rsidRPr="00D467CD">
        <w:t>Commodity price volatility may adversely affect the Corporation</w:t>
      </w:r>
      <w:bookmarkEnd w:id="41"/>
    </w:p>
    <w:p w14:paraId="4A5F0797" w14:textId="77777777" w:rsidR="009633AC" w:rsidRDefault="009633AC" w:rsidP="009633AC">
      <w:pPr>
        <w:pStyle w:val="ProspectusCont3"/>
      </w:pPr>
      <w:r w:rsidRPr="00D467CD">
        <w:t>If the Corporation commences production, profitability will be dependent upon the market price of gold. Gold prices historically have fluctuated widely and are affected by numerous external factors beyond the Corporation</w:t>
      </w:r>
      <w:r>
        <w:t>'</w:t>
      </w:r>
      <w:r w:rsidRPr="00D467CD">
        <w:t>s control, including but not limited to, industrial and retail demand, central bank lending, sales and purchases of gold, forward sales of gold by producers and speculators, levels of gold production, short-term changes in supply and demand because of speculative hedging activities, confidence in the global monetary system, expectations of the future rate of inflation, the strength of the US$ (the currency in which the price of gold is generally quoted), interest rates, terrorism and war, and other global or regional political or economic events.</w:t>
      </w:r>
    </w:p>
    <w:p w14:paraId="3AB2FA02" w14:textId="77777777" w:rsidR="009633AC" w:rsidRPr="00D467CD" w:rsidRDefault="009633AC" w:rsidP="009633AC">
      <w:pPr>
        <w:pStyle w:val="ProspectusCont3"/>
        <w:rPr>
          <w:lang w:val="en-GB"/>
        </w:rPr>
      </w:pPr>
      <w:r w:rsidRPr="00D467CD">
        <w:rPr>
          <w:lang w:val="en-GB"/>
        </w:rPr>
        <w:t>The valuation of the Corporation</w:t>
      </w:r>
      <w:r>
        <w:rPr>
          <w:lang w:val="en-GB"/>
        </w:rPr>
        <w:t>'</w:t>
      </w:r>
      <w:r w:rsidRPr="00D467CD">
        <w:rPr>
          <w:lang w:val="en-GB"/>
        </w:rPr>
        <w:t>s other assets is further dependent upon the market price of other commodities such as copper, nickel, titanium, vanadium, molybdenum, and rare earth elements. The volatility of these commodities varies significantly and are a product of industrial supply and demand, underlying global economic conditions, macroeconomic factors, global inventory levels and investor sentiment.</w:t>
      </w:r>
    </w:p>
    <w:p w14:paraId="7F2DE382" w14:textId="77777777" w:rsidR="009633AC" w:rsidRPr="00D467CD" w:rsidRDefault="009633AC" w:rsidP="009633AC">
      <w:pPr>
        <w:pStyle w:val="ProspectusL3"/>
      </w:pPr>
      <w:bookmarkStart w:id="42" w:name="_Toc158752298"/>
      <w:r w:rsidRPr="00D467CD">
        <w:t>The Corporation</w:t>
      </w:r>
      <w:r>
        <w:t>'</w:t>
      </w:r>
      <w:r w:rsidRPr="00D467CD">
        <w:t>s insurance does not cover all of its potential losses, liabilities and damage related to its business</w:t>
      </w:r>
      <w:bookmarkEnd w:id="42"/>
    </w:p>
    <w:p w14:paraId="1E7DE8B1" w14:textId="77777777" w:rsidR="009633AC" w:rsidRPr="00D467CD" w:rsidRDefault="009633AC" w:rsidP="009633AC">
      <w:pPr>
        <w:pStyle w:val="ProspectusCont3"/>
      </w:pPr>
      <w:r w:rsidRPr="00D467CD">
        <w:t>The Corporation has adequately insured the assets at the Nalunaq Property. For the whole duration</w:t>
      </w:r>
      <w:r>
        <w:t xml:space="preserve"> of the</w:t>
      </w:r>
      <w:r w:rsidRPr="00D467CD">
        <w:t xml:space="preserve"> construction period of </w:t>
      </w:r>
      <w:r>
        <w:t xml:space="preserve">the </w:t>
      </w:r>
      <w:r w:rsidRPr="00D467CD">
        <w:t xml:space="preserve">Nalunaq </w:t>
      </w:r>
      <w:r>
        <w:t>p</w:t>
      </w:r>
      <w:r w:rsidRPr="00D467CD">
        <w:t>roject</w:t>
      </w:r>
      <w:r>
        <w:t>,</w:t>
      </w:r>
      <w:r w:rsidRPr="00D467CD">
        <w:t xml:space="preserve"> the Corporation has obtained Builders and Wrap-up liability insurance package to adequately protect the Corporation</w:t>
      </w:r>
      <w:r>
        <w:t>'</w:t>
      </w:r>
      <w:r w:rsidRPr="00D467CD">
        <w:t>s assets, employees and contractors at the time of intensive construction activities. However, exploration, development and production operations on mineral properties may involve numerous other risks, including:</w:t>
      </w:r>
    </w:p>
    <w:p w14:paraId="5F548885" w14:textId="77777777" w:rsidR="009633AC" w:rsidRPr="00D467CD" w:rsidRDefault="009633AC" w:rsidP="009633AC">
      <w:pPr>
        <w:pStyle w:val="ProspectusL8"/>
      </w:pPr>
      <w:r w:rsidRPr="00D467CD">
        <w:t>unexpected or unusual geological operating conditions;</w:t>
      </w:r>
    </w:p>
    <w:p w14:paraId="49063553" w14:textId="77777777" w:rsidR="009633AC" w:rsidRPr="00D467CD" w:rsidRDefault="009633AC" w:rsidP="009633AC">
      <w:pPr>
        <w:pStyle w:val="ProspectusL8"/>
      </w:pPr>
      <w:r w:rsidRPr="00D467CD">
        <w:t>rock bursts, cave-ins, ground or slope failures;</w:t>
      </w:r>
    </w:p>
    <w:p w14:paraId="0E389748" w14:textId="77777777" w:rsidR="009633AC" w:rsidRPr="00D467CD" w:rsidRDefault="009633AC" w:rsidP="009633AC">
      <w:pPr>
        <w:pStyle w:val="ProspectusL8"/>
      </w:pPr>
      <w:r w:rsidRPr="00D467CD">
        <w:t>fires, floods, earthquakes, avalanches and other environmental occurrences;</w:t>
      </w:r>
    </w:p>
    <w:p w14:paraId="2C106EBD" w14:textId="77777777" w:rsidR="009633AC" w:rsidRPr="00D467CD" w:rsidRDefault="009633AC" w:rsidP="009633AC">
      <w:pPr>
        <w:pStyle w:val="ProspectusL8"/>
      </w:pPr>
      <w:r w:rsidRPr="00D467CD">
        <w:lastRenderedPageBreak/>
        <w:t>political and social instability that could result in damage to or destruction of mineral properties or producing facilities, personal injury or death, environmental damage;</w:t>
      </w:r>
    </w:p>
    <w:p w14:paraId="0D750A60" w14:textId="77777777" w:rsidR="009633AC" w:rsidRPr="00D467CD" w:rsidRDefault="009633AC" w:rsidP="009633AC">
      <w:pPr>
        <w:pStyle w:val="ProspectusL8"/>
      </w:pPr>
      <w:r w:rsidRPr="00D467CD">
        <w:t>delays in mining caused by industrial accidents or labour disputes;</w:t>
      </w:r>
    </w:p>
    <w:p w14:paraId="5E1BC3D0" w14:textId="77777777" w:rsidR="009633AC" w:rsidRPr="00D467CD" w:rsidRDefault="009633AC" w:rsidP="009633AC">
      <w:pPr>
        <w:pStyle w:val="ProspectusL8"/>
      </w:pPr>
      <w:r w:rsidRPr="00D467CD">
        <w:t>changes in regulatory environment;</w:t>
      </w:r>
    </w:p>
    <w:p w14:paraId="6A33F294" w14:textId="77777777" w:rsidR="009633AC" w:rsidRPr="00D467CD" w:rsidRDefault="009633AC" w:rsidP="009633AC">
      <w:pPr>
        <w:pStyle w:val="ProspectusL8"/>
      </w:pPr>
      <w:r w:rsidRPr="00D467CD">
        <w:t>monetary losses; and</w:t>
      </w:r>
    </w:p>
    <w:p w14:paraId="65EE06CF" w14:textId="77777777" w:rsidR="009633AC" w:rsidRPr="00D467CD" w:rsidRDefault="009633AC" w:rsidP="009633AC">
      <w:pPr>
        <w:pStyle w:val="ProspectusL8"/>
      </w:pPr>
      <w:r w:rsidRPr="00D467CD">
        <w:t>possible legal liability.</w:t>
      </w:r>
    </w:p>
    <w:p w14:paraId="77881461" w14:textId="77777777" w:rsidR="009633AC" w:rsidRPr="00D467CD" w:rsidRDefault="009633AC" w:rsidP="009633AC">
      <w:pPr>
        <w:pStyle w:val="ProspectusCont3"/>
      </w:pPr>
      <w:r w:rsidRPr="00D467CD">
        <w:t xml:space="preserve">It is not always possible to obtain insurance against all such risks and the Corporation may decide not to insure against certain risks because of high premiums or other reasons. Moreover, insurance against certain risks may not be available to the Corporation or to other companies in the mining industry on acceptable terms. If such liabilities arise and are not covered by insurance, they could reduce or eliminate any further profitability and result in increasing costs and a decline in the value of the securities of the Corporation. </w:t>
      </w:r>
      <w:bookmarkStart w:id="43" w:name="_Toc137379991"/>
      <w:bookmarkEnd w:id="43"/>
    </w:p>
    <w:p w14:paraId="3A82BDA2" w14:textId="77777777" w:rsidR="009633AC" w:rsidRPr="00D467CD" w:rsidRDefault="009633AC" w:rsidP="009633AC">
      <w:pPr>
        <w:pStyle w:val="ProspectusL3"/>
      </w:pPr>
      <w:bookmarkStart w:id="44" w:name="_Toc158752299"/>
      <w:r w:rsidRPr="00D467CD">
        <w:t>The Corporation is subject to the risks and liabilities associated with possible accidents, injuries or deaths on the Properties</w:t>
      </w:r>
      <w:bookmarkEnd w:id="44"/>
    </w:p>
    <w:p w14:paraId="44B1B503" w14:textId="77777777" w:rsidR="009633AC" w:rsidRDefault="009633AC" w:rsidP="009633AC">
      <w:pPr>
        <w:pStyle w:val="ProspectusCont3"/>
      </w:pPr>
      <w:r w:rsidRPr="00D467CD">
        <w:t>Mining, like many other extractive natural resource industries, is subject to potential risks and liabilities due to accidents that could result in serious injury or death. The impact of such accidents could affect the profitability of the operations, cause an interruption to operations, lead to a loss of licences, affect the reputation of the Corporation and its ability to obtain further licences, damage community relations and reduce the perceived appeal of the Corporation as an employer.</w:t>
      </w:r>
    </w:p>
    <w:p w14:paraId="707A00AA" w14:textId="77777777" w:rsidR="009633AC" w:rsidRPr="00D467CD" w:rsidRDefault="009633AC" w:rsidP="009633AC">
      <w:pPr>
        <w:pStyle w:val="ProspectusCont3"/>
        <w:rPr>
          <w:lang w:val="en-GB"/>
        </w:rPr>
      </w:pPr>
      <w:r w:rsidRPr="00D467CD">
        <w:rPr>
          <w:lang w:val="en-GB"/>
        </w:rPr>
        <w:t>Amendments to current laws, regulations and permits governing operations and activities of mining companies, or more stringent implementation thereof, could have a material adverse impact on the Corporation and cause increases in exploration expenses, capital expenditures or production costs, reduction in levels of production at producing properties, delays in the development of new mining properties, or increases in abandonment costs.</w:t>
      </w:r>
    </w:p>
    <w:p w14:paraId="13786C07" w14:textId="77777777" w:rsidR="009633AC" w:rsidRPr="00D467CD" w:rsidRDefault="009633AC" w:rsidP="009633AC">
      <w:pPr>
        <w:pStyle w:val="ProspectusL3"/>
      </w:pPr>
      <w:bookmarkStart w:id="45" w:name="_Toc158752300"/>
      <w:r w:rsidRPr="00D467CD">
        <w:t>Uncertainty associated with mineral resource estimates</w:t>
      </w:r>
      <w:bookmarkEnd w:id="45"/>
    </w:p>
    <w:p w14:paraId="0DD4FC2C" w14:textId="77777777" w:rsidR="009633AC" w:rsidRPr="00D467CD" w:rsidRDefault="009633AC" w:rsidP="009633AC">
      <w:pPr>
        <w:pStyle w:val="ProspectusCont3"/>
      </w:pPr>
      <w:r w:rsidRPr="00D467CD">
        <w:t>The estimation of mineral resources involves a certain degree of supposition, and the accuracy of these estimates is a function of the quality and quantity of available data and the assumptions used and judgements made in interpreting information. There is significant uncertainty in any resource estimate and the assumptions used or judgements made may prove to be inaccurate; the economic viability of mining may differ materially from the Corporation</w:t>
      </w:r>
      <w:r>
        <w:t>'</w:t>
      </w:r>
      <w:r w:rsidRPr="00D467CD">
        <w:t>s estimates. This is particularly the case for ore deposits such as those at the Nalunaq Property where the grade is not uniformly distributed in the ore. As further information becomes available through additional field work and analysis, the estimates are likely to change. This may result in alterations to development and mining plans, which may in turn adversely affect the financial position of the Corporation. No assurance can be given that the anticipated tonnages and grades will be achieved, that the indicated level of recovery will be reali</w:t>
      </w:r>
      <w:r>
        <w:t>z</w:t>
      </w:r>
      <w:r w:rsidRPr="00D467CD">
        <w:t xml:space="preserve">ed or that mineral resources can be mined or processed profitably. Actual resources may not conform to geological, metallurgical or other expectations and the volume and grade of ore recovered may be below or above the estimated levels. Lower market prices, increased production costs, reduced recovery rates and other factors may render the </w:t>
      </w:r>
      <w:r>
        <w:t>Corporation'</w:t>
      </w:r>
      <w:r w:rsidRPr="00D467CD">
        <w:t xml:space="preserve">s mineral resources uneconomic to exploit and may result in a revision of its resource estimates from time to time. Resource data is not indicative of future results of operations. If the </w:t>
      </w:r>
      <w:r>
        <w:t>Corporation'</w:t>
      </w:r>
      <w:r w:rsidRPr="00D467CD">
        <w:t>s actual mineral resources are less than current estimates, its results of operations and financial condition may be materially impaired.</w:t>
      </w:r>
    </w:p>
    <w:p w14:paraId="3EDADD3B" w14:textId="77777777" w:rsidR="009633AC" w:rsidRPr="00D467CD" w:rsidRDefault="009633AC" w:rsidP="009633AC">
      <w:pPr>
        <w:pStyle w:val="ProspectusL3"/>
      </w:pPr>
      <w:bookmarkStart w:id="46" w:name="_Toc158752301"/>
      <w:r w:rsidRPr="00D467CD">
        <w:t>Increased competition may affect the Corporation and its business</w:t>
      </w:r>
      <w:bookmarkEnd w:id="46"/>
      <w:r w:rsidRPr="00D467CD">
        <w:t xml:space="preserve"> </w:t>
      </w:r>
    </w:p>
    <w:p w14:paraId="6D65F194" w14:textId="77777777" w:rsidR="009633AC" w:rsidRPr="00D467CD" w:rsidRDefault="009633AC" w:rsidP="009633AC">
      <w:pPr>
        <w:pStyle w:val="ProspectusCont3"/>
      </w:pPr>
      <w:r w:rsidRPr="00D467CD">
        <w:t xml:space="preserve">The mining industry is intensely competitive in all of its phases. A number of other mining companies may seek to establish themselves in Greenland and have already, or may be allowed to, tender for exploration and mining permits and other services, supplies or contracts, thereby providing competition to the Corporation. The Corporation will compete with numerous other local and international companies and individuals, including larger competitors with access to greater financial, technical and other resources than the Corporation, which may give them a competitive </w:t>
      </w:r>
      <w:r w:rsidRPr="00D467CD">
        <w:lastRenderedPageBreak/>
        <w:t>advantage in the exploration for and commercial exploitation of attractive properties. In addition, actual or potential competitors may be strengthened through the acquisition of additional assets and interests and competition could adversely affect the Corporation</w:t>
      </w:r>
      <w:r>
        <w:t>'</w:t>
      </w:r>
      <w:r w:rsidRPr="00D467CD">
        <w:t>s ability to acquire suitable additional properties in the future. The Corporation</w:t>
      </w:r>
      <w:r>
        <w:t>'</w:t>
      </w:r>
      <w:r w:rsidRPr="00D467CD">
        <w:t>s success will depend on its ability to develop the Properties and in addition, select and acquire exploration and development rights on other properties and there can be no assurance that the Corporation will continue to be able to compete successfully with its rivals.</w:t>
      </w:r>
    </w:p>
    <w:p w14:paraId="7AF1B01A" w14:textId="77777777" w:rsidR="009633AC" w:rsidRPr="00D467CD" w:rsidRDefault="009633AC" w:rsidP="009633AC">
      <w:pPr>
        <w:pStyle w:val="ProspectusL3"/>
      </w:pPr>
      <w:bookmarkStart w:id="47" w:name="_Toc158752302"/>
      <w:r w:rsidRPr="00D467CD">
        <w:t>The Corporation may be adversely affected by general macroeconomic conditions</w:t>
      </w:r>
      <w:bookmarkEnd w:id="47"/>
    </w:p>
    <w:p w14:paraId="24FDC0AB" w14:textId="77777777" w:rsidR="009633AC" w:rsidRDefault="009633AC" w:rsidP="009633AC">
      <w:pPr>
        <w:pStyle w:val="ProspectusCont3"/>
      </w:pPr>
      <w:r w:rsidRPr="00D467CD">
        <w:t>The Corporation</w:t>
      </w:r>
      <w:r>
        <w:t>'</w:t>
      </w:r>
      <w:r w:rsidRPr="00D467CD">
        <w:t>s performance is influenced by general macroeconomic conditions. General macroeconomic conditions include the global economic slowdown, the overall disruption of global supply chains and distribution and changing economic cycles. These cycles are also influenced by global political events, such as terrorist acts, war and other hostilities as well as by market specific events, such as shifts in consumer confidence and consumer spending, the rate of unemployment, industrial output, labour or social unrest and political uncertainty.</w:t>
      </w:r>
    </w:p>
    <w:p w14:paraId="35D53743" w14:textId="77777777" w:rsidR="009633AC" w:rsidRDefault="009633AC" w:rsidP="009633AC">
      <w:pPr>
        <w:pStyle w:val="ProspectusCont3"/>
        <w:rPr>
          <w:lang w:val="en-GB"/>
        </w:rPr>
      </w:pPr>
      <w:r w:rsidRPr="00D467CD">
        <w:rPr>
          <w:lang w:val="en-GB"/>
        </w:rPr>
        <w:t>There is great uncertainty concerning the European and global economic development. The Russian invasion of Ukraine has also created significant uncertainty and market volatility and could have adverse effect on European and global economies.</w:t>
      </w:r>
    </w:p>
    <w:p w14:paraId="4FB5E8B2" w14:textId="77777777" w:rsidR="009633AC" w:rsidRDefault="009633AC" w:rsidP="009633AC">
      <w:pPr>
        <w:pStyle w:val="ProspectusCont3"/>
        <w:rPr>
          <w:lang w:val="en-GB"/>
        </w:rPr>
      </w:pPr>
      <w:r w:rsidRPr="00D467CD">
        <w:rPr>
          <w:lang w:val="en-GB"/>
        </w:rPr>
        <w:t xml:space="preserve">Besides, a widespread outbreak of an infectious illness such as the COVID-19 pandemic, may result in travel restrictions, disruption of healthcare services, prolonged quarantines, supply chain disruptions, business closures, lower consumer demand, layoffs, defaults and other significant economic, social and political impacts. </w:t>
      </w:r>
    </w:p>
    <w:p w14:paraId="10ACC8F6" w14:textId="77777777" w:rsidR="009633AC" w:rsidRPr="00D467CD" w:rsidRDefault="009633AC" w:rsidP="009633AC">
      <w:pPr>
        <w:pStyle w:val="ProspectusCont3"/>
        <w:rPr>
          <w:lang w:val="en-GB"/>
        </w:rPr>
      </w:pPr>
      <w:r w:rsidRPr="00D467CD">
        <w:rPr>
          <w:lang w:val="en-GB"/>
        </w:rPr>
        <w:t>All these factors could have material adverse effect on the Corporation</w:t>
      </w:r>
      <w:r>
        <w:rPr>
          <w:lang w:val="en-GB"/>
        </w:rPr>
        <w:t>'</w:t>
      </w:r>
      <w:r w:rsidRPr="00D467CD">
        <w:rPr>
          <w:lang w:val="en-GB"/>
        </w:rPr>
        <w:t>s business, financial condition, results of operations and growth prospects.</w:t>
      </w:r>
    </w:p>
    <w:p w14:paraId="4FA6461B" w14:textId="77777777" w:rsidR="009633AC" w:rsidRPr="00D467CD" w:rsidRDefault="009633AC" w:rsidP="009633AC">
      <w:pPr>
        <w:pStyle w:val="ProspectusL2"/>
      </w:pPr>
      <w:bookmarkStart w:id="48" w:name="_Toc158752303"/>
      <w:r w:rsidRPr="00D467CD">
        <w:t xml:space="preserve">Risks </w:t>
      </w:r>
      <w:r>
        <w:t>R</w:t>
      </w:r>
      <w:r w:rsidRPr="00D467CD">
        <w:t>elated to the Corporation</w:t>
      </w:r>
      <w:r>
        <w:t>'</w:t>
      </w:r>
      <w:r w:rsidRPr="00D467CD">
        <w:t xml:space="preserve">s </w:t>
      </w:r>
      <w:r>
        <w:t>F</w:t>
      </w:r>
      <w:r w:rsidRPr="00D467CD">
        <w:t xml:space="preserve">inancial </w:t>
      </w:r>
      <w:r>
        <w:t>S</w:t>
      </w:r>
      <w:r w:rsidRPr="00D467CD">
        <w:t>ituation</w:t>
      </w:r>
      <w:bookmarkEnd w:id="48"/>
    </w:p>
    <w:p w14:paraId="38DC5140" w14:textId="77777777" w:rsidR="009633AC" w:rsidRPr="00D467CD" w:rsidRDefault="009633AC" w:rsidP="009633AC">
      <w:pPr>
        <w:pStyle w:val="ProspectusCont2"/>
      </w:pPr>
      <w:r w:rsidRPr="00D467CD">
        <w:t>The Corporation is exposed to various financial risks resulting from both its operations and its investment activities. The Management manages financial risks. The Corporation does not enter into financial instruments agreements, including derivative financial instruments, for speculative purposes. The Corporation</w:t>
      </w:r>
      <w:r>
        <w:t>'</w:t>
      </w:r>
      <w:r w:rsidRPr="00D467CD">
        <w:t>s main financial risks exposure is described below.</w:t>
      </w:r>
    </w:p>
    <w:p w14:paraId="7725DD1D" w14:textId="77777777" w:rsidR="009633AC" w:rsidRPr="00D467CD" w:rsidRDefault="009633AC" w:rsidP="009633AC">
      <w:pPr>
        <w:pStyle w:val="ProspectusL3"/>
      </w:pPr>
      <w:bookmarkStart w:id="49" w:name="_Toc158752304"/>
      <w:r w:rsidRPr="00D467CD">
        <w:t>The Corporation</w:t>
      </w:r>
      <w:r>
        <w:t>'</w:t>
      </w:r>
      <w:r w:rsidRPr="00D467CD">
        <w:t>s liquidity is uncertain and it could encounter difficulty in meeting obligations associated with financial liabilities</w:t>
      </w:r>
      <w:bookmarkEnd w:id="49"/>
    </w:p>
    <w:p w14:paraId="02A08BB6" w14:textId="77777777" w:rsidR="009633AC" w:rsidRDefault="009633AC" w:rsidP="009633AC">
      <w:pPr>
        <w:pStyle w:val="ProspectusCont3"/>
      </w:pPr>
      <w:r w:rsidRPr="00D467CD">
        <w:t>Liquidity risk is the risk that the Corporation encounter difficulty in meeting its obligations associated with financial liabilities that are settled by delivering cash or other financial assets or having to do so at excessive cost. The risk arises from maturity mismatch between financial liabilities and financial assets. The Corporation may be exposed to financing and liquidity risks if it fails to adequately manage its financial structure. The Corporation currently does not have any income and the Corporation does not expect to generate revenue in the near future. As external financing constitutes a part of the Corporation</w:t>
      </w:r>
      <w:r>
        <w:t>'</w:t>
      </w:r>
      <w:r w:rsidRPr="00D467CD">
        <w:t>s operations, any difficulties in obtaining financing for capital expenditures, acquisitions or refinancing existing obligations, or the sole availability of financing on terms disadvantageous to the Corporation, could have a material negative impact on its operations, earnings and/or financial position.</w:t>
      </w:r>
    </w:p>
    <w:p w14:paraId="641C876D" w14:textId="77777777" w:rsidR="009633AC" w:rsidRDefault="009633AC" w:rsidP="009633AC">
      <w:pPr>
        <w:pStyle w:val="ProspectusCont3"/>
        <w:rPr>
          <w:lang w:val="en-GB"/>
        </w:rPr>
      </w:pPr>
      <w:r w:rsidRPr="00D467CD">
        <w:rPr>
          <w:lang w:val="en-GB"/>
        </w:rPr>
        <w:t>The inability to secure financing may impact the liquidity of the Corporation, which may in turn have a material negative impact on its ability to meet debt obligations or conduct operations. Even if the Corporation can raise sufficient liquidity, it may be on unfavourable terms and thus have a material negative effect on the profitability of the Corporation. Lack of available and favourable financing may also impact the Corporation</w:t>
      </w:r>
      <w:r>
        <w:rPr>
          <w:lang w:val="en-GB"/>
        </w:rPr>
        <w:t>'</w:t>
      </w:r>
      <w:r w:rsidRPr="00D467CD">
        <w:rPr>
          <w:lang w:val="en-GB"/>
        </w:rPr>
        <w:t>s ability to capitali</w:t>
      </w:r>
      <w:r>
        <w:rPr>
          <w:lang w:val="en-GB"/>
        </w:rPr>
        <w:t>z</w:t>
      </w:r>
      <w:r w:rsidRPr="00D467CD">
        <w:rPr>
          <w:lang w:val="en-GB"/>
        </w:rPr>
        <w:t>e on investment opportunities.</w:t>
      </w:r>
    </w:p>
    <w:p w14:paraId="3584574A" w14:textId="77777777" w:rsidR="009633AC" w:rsidRDefault="009633AC" w:rsidP="009633AC">
      <w:pPr>
        <w:pStyle w:val="ProspectusCont3"/>
        <w:rPr>
          <w:lang w:val="en-GB"/>
        </w:rPr>
      </w:pPr>
      <w:r w:rsidRPr="00D467CD">
        <w:rPr>
          <w:lang w:val="en-GB"/>
        </w:rPr>
        <w:t xml:space="preserve">On September 1, 2023 the Corporation finalized </w:t>
      </w:r>
      <w:r>
        <w:rPr>
          <w:lang w:val="en-GB"/>
        </w:rPr>
        <w:t>a d</w:t>
      </w:r>
      <w:r w:rsidRPr="00D467CD">
        <w:rPr>
          <w:lang w:val="en-GB"/>
        </w:rPr>
        <w:t xml:space="preserve">ebt </w:t>
      </w:r>
      <w:r>
        <w:rPr>
          <w:lang w:val="en-GB"/>
        </w:rPr>
        <w:t>f</w:t>
      </w:r>
      <w:r w:rsidRPr="00D467CD">
        <w:rPr>
          <w:lang w:val="en-GB"/>
        </w:rPr>
        <w:t xml:space="preserve">inancing </w:t>
      </w:r>
      <w:r>
        <w:rPr>
          <w:lang w:val="en-GB"/>
        </w:rPr>
        <w:t>p</w:t>
      </w:r>
      <w:r w:rsidRPr="00D467CD">
        <w:rPr>
          <w:lang w:val="en-GB"/>
        </w:rPr>
        <w:t>ackage for US$</w:t>
      </w:r>
      <w:r>
        <w:rPr>
          <w:lang w:val="en-GB"/>
        </w:rPr>
        <w:t>50.9</w:t>
      </w:r>
      <w:r w:rsidRPr="00D467CD">
        <w:rPr>
          <w:lang w:val="en-GB"/>
        </w:rPr>
        <w:t xml:space="preserve"> million.</w:t>
      </w:r>
    </w:p>
    <w:p w14:paraId="31157193" w14:textId="77777777" w:rsidR="009633AC" w:rsidRDefault="009633AC" w:rsidP="009633AC">
      <w:pPr>
        <w:pStyle w:val="ProspectusCont3"/>
        <w:rPr>
          <w:lang w:val="en-GB"/>
        </w:rPr>
      </w:pPr>
      <w:r w:rsidRPr="00D467CD">
        <w:rPr>
          <w:lang w:val="en-GB"/>
        </w:rPr>
        <w:t xml:space="preserve">On February 23, 2024 the Corporation closed the </w:t>
      </w:r>
      <w:r>
        <w:rPr>
          <w:lang w:val="en-GB"/>
        </w:rPr>
        <w:t>F</w:t>
      </w:r>
      <w:r w:rsidRPr="00D467CD">
        <w:rPr>
          <w:lang w:val="en-GB"/>
        </w:rPr>
        <w:t xml:space="preserve">undraising with net proceeds of approximately of </w:t>
      </w:r>
      <w:r>
        <w:rPr>
          <w:lang w:val="en-GB"/>
        </w:rPr>
        <w:t>C$75 million.</w:t>
      </w:r>
    </w:p>
    <w:p w14:paraId="1EB2D704" w14:textId="77777777" w:rsidR="009633AC" w:rsidRDefault="009633AC" w:rsidP="009633AC">
      <w:pPr>
        <w:pStyle w:val="ProspectusCont3"/>
        <w:rPr>
          <w:lang w:val="en-GB"/>
        </w:rPr>
      </w:pPr>
      <w:r w:rsidRPr="00D467CD">
        <w:rPr>
          <w:lang w:val="en-GB"/>
        </w:rPr>
        <w:lastRenderedPageBreak/>
        <w:t xml:space="preserve">The </w:t>
      </w:r>
      <w:r>
        <w:rPr>
          <w:lang w:val="en-GB"/>
        </w:rPr>
        <w:t>Fundraising,</w:t>
      </w:r>
      <w:r w:rsidRPr="00D467CD">
        <w:rPr>
          <w:lang w:val="en-GB"/>
        </w:rPr>
        <w:t xml:space="preserve"> together with existing capital is expected to accelerate the mining activities of </w:t>
      </w:r>
      <w:r>
        <w:rPr>
          <w:lang w:val="en-GB"/>
        </w:rPr>
        <w:t xml:space="preserve">the </w:t>
      </w:r>
      <w:r w:rsidRPr="00D467CD">
        <w:rPr>
          <w:lang w:val="en-GB"/>
        </w:rPr>
        <w:t xml:space="preserve">Nalunaq </w:t>
      </w:r>
      <w:r>
        <w:rPr>
          <w:lang w:val="en-GB"/>
        </w:rPr>
        <w:t>p</w:t>
      </w:r>
      <w:r w:rsidRPr="00D467CD">
        <w:rPr>
          <w:lang w:val="en-GB"/>
        </w:rPr>
        <w:t>roject and other associated works to enable a smooth transition of the processing plant to a 300 tonnes per day nameplate capacity, installation of floatation circuit and dry-stack tailings facility to increase recoveries. The Corporation has moved its already engineered and manufactured components of the processing plant that have been purchased and have a carrying value of US$8.5 million.</w:t>
      </w:r>
    </w:p>
    <w:p w14:paraId="4DEF7A49" w14:textId="77777777" w:rsidR="009633AC" w:rsidRDefault="009633AC" w:rsidP="009633AC">
      <w:pPr>
        <w:pStyle w:val="ProspectusCont3"/>
        <w:rPr>
          <w:lang w:val="en-GB"/>
        </w:rPr>
      </w:pPr>
      <w:r w:rsidRPr="00D467CD">
        <w:rPr>
          <w:lang w:val="en-GB"/>
        </w:rPr>
        <w:t>Amaroq retains a prudent and diligent approach to commencing trial mining activities at Nalunaq, and plans to de-risk the project in a staged approach, including rehabilitating existing mining areas, extending exploration activities and converting current mineral resources ahead of commencing full-scale production.</w:t>
      </w:r>
    </w:p>
    <w:p w14:paraId="77332772" w14:textId="77777777" w:rsidR="009633AC" w:rsidRPr="00D467CD" w:rsidRDefault="009633AC" w:rsidP="009633AC">
      <w:pPr>
        <w:pStyle w:val="ProspectusCont3"/>
        <w:rPr>
          <w:lang w:val="en-GB"/>
        </w:rPr>
      </w:pPr>
      <w:r w:rsidRPr="00D467CD">
        <w:rPr>
          <w:lang w:val="en-GB"/>
        </w:rPr>
        <w:t>While the Corporation has secured financing in the past, there can be no assurance it will be able to do so in the future or that these sources of funding or initiatives will be available for the Corporation or that they will be available on terms which are acceptable to the Corporation.</w:t>
      </w:r>
    </w:p>
    <w:p w14:paraId="007D33F5" w14:textId="77777777" w:rsidR="009633AC" w:rsidRPr="00D467CD" w:rsidRDefault="009633AC" w:rsidP="009633AC">
      <w:pPr>
        <w:pStyle w:val="ProspectusL3"/>
      </w:pPr>
      <w:r w:rsidRPr="00D467CD">
        <w:t>The Corporation could have insufficient funds to determine whether commercial mineral deposits exist on its Properties</w:t>
      </w:r>
    </w:p>
    <w:p w14:paraId="5E3EF513" w14:textId="77777777" w:rsidR="009633AC" w:rsidRPr="00D467CD" w:rsidRDefault="009633AC" w:rsidP="009633AC">
      <w:pPr>
        <w:pStyle w:val="ProspectusCont3"/>
      </w:pPr>
      <w:r w:rsidRPr="00D467CD">
        <w:t xml:space="preserve">The Corporation requires substantial funds to determine whether mineral reserves exist on the Properties beyond an </w:t>
      </w:r>
      <w:r>
        <w:t>i</w:t>
      </w:r>
      <w:r w:rsidRPr="00D467CD">
        <w:t>nferred mineral resource. Any potential development and production of the Properties depends upon the results of exploration programmes and feasibility studies and the recommendations of duly qualified engineers and geologists. Such programmes and studies require substantial funds. Any decision to further expand the Corporation</w:t>
      </w:r>
      <w:r>
        <w:t>'</w:t>
      </w:r>
      <w:r w:rsidRPr="00D467CD">
        <w:t>s operations on the Properties is anticipated to involve consideration and evaluation of several significant factors including, but not limited to:</w:t>
      </w:r>
    </w:p>
    <w:p w14:paraId="304CC726" w14:textId="77777777" w:rsidR="009633AC" w:rsidRPr="00D467CD" w:rsidRDefault="009633AC" w:rsidP="009633AC">
      <w:pPr>
        <w:pStyle w:val="ProspectusL8"/>
      </w:pPr>
      <w:r w:rsidRPr="00D467CD">
        <w:t>costs of bringing a property into production, including exploration work, preparation of production feasibility studies, and construction of production facilities;</w:t>
      </w:r>
    </w:p>
    <w:p w14:paraId="0C80DBAB" w14:textId="77777777" w:rsidR="009633AC" w:rsidRPr="00D467CD" w:rsidRDefault="009633AC" w:rsidP="009633AC">
      <w:pPr>
        <w:pStyle w:val="ProspectusL8"/>
      </w:pPr>
      <w:r w:rsidRPr="00D467CD">
        <w:t>availability and costs of financing;</w:t>
      </w:r>
    </w:p>
    <w:p w14:paraId="4677E0F3" w14:textId="77777777" w:rsidR="009633AC" w:rsidRPr="00D467CD" w:rsidRDefault="009633AC" w:rsidP="009633AC">
      <w:pPr>
        <w:pStyle w:val="ProspectusL8"/>
      </w:pPr>
      <w:r w:rsidRPr="00D467CD">
        <w:t>ongoing costs of production;</w:t>
      </w:r>
    </w:p>
    <w:p w14:paraId="7FFD9C18" w14:textId="77777777" w:rsidR="009633AC" w:rsidRPr="00D467CD" w:rsidRDefault="009633AC" w:rsidP="009633AC">
      <w:pPr>
        <w:pStyle w:val="ProspectusL8"/>
      </w:pPr>
      <w:r w:rsidRPr="00D467CD">
        <w:t>market prices of the minerals to be produced;</w:t>
      </w:r>
    </w:p>
    <w:p w14:paraId="3F5A5269" w14:textId="77777777" w:rsidR="009633AC" w:rsidRPr="00D467CD" w:rsidRDefault="009633AC" w:rsidP="009633AC">
      <w:pPr>
        <w:pStyle w:val="ProspectusL8"/>
      </w:pPr>
      <w:r w:rsidRPr="00D467CD">
        <w:t>environmental compliance regulations and restraints; and</w:t>
      </w:r>
    </w:p>
    <w:p w14:paraId="07184C35" w14:textId="77777777" w:rsidR="009633AC" w:rsidRPr="00D467CD" w:rsidRDefault="009633AC" w:rsidP="009633AC">
      <w:pPr>
        <w:pStyle w:val="ProspectusL8"/>
      </w:pPr>
      <w:r w:rsidRPr="00D467CD">
        <w:t>political climate and/or governmental regulation and control.</w:t>
      </w:r>
    </w:p>
    <w:p w14:paraId="4A303A5C" w14:textId="77777777" w:rsidR="009633AC" w:rsidRPr="00D467CD" w:rsidRDefault="009633AC" w:rsidP="009633AC">
      <w:pPr>
        <w:pStyle w:val="ProspectusL3"/>
      </w:pPr>
      <w:bookmarkStart w:id="50" w:name="_Toc158752305"/>
      <w:r w:rsidRPr="00D467CD">
        <w:t>The Corporation</w:t>
      </w:r>
      <w:r>
        <w:t>'</w:t>
      </w:r>
      <w:r w:rsidRPr="00D467CD">
        <w:t>s financial statements are based in part on assumptions and estimates, which, if inaccurate, could lead to future losses</w:t>
      </w:r>
      <w:bookmarkEnd w:id="50"/>
      <w:r w:rsidRPr="00D467CD">
        <w:t xml:space="preserve"> </w:t>
      </w:r>
    </w:p>
    <w:p w14:paraId="373BC299" w14:textId="77777777" w:rsidR="009633AC" w:rsidRPr="00D467CD" w:rsidRDefault="009633AC" w:rsidP="009633AC">
      <w:pPr>
        <w:pStyle w:val="ProspectusCont3"/>
      </w:pPr>
      <w:r w:rsidRPr="00D467CD">
        <w:t>The Corporation</w:t>
      </w:r>
      <w:r>
        <w:t>'</w:t>
      </w:r>
      <w:r w:rsidRPr="00D467CD">
        <w:t>s financial statements are prepared on a going concern basis, which contemplates the realization of assets and the satisfaction of liabilities in the normal course of business. Preparation of its financial statements requires the Corporation</w:t>
      </w:r>
      <w:r>
        <w:t>'</w:t>
      </w:r>
      <w:r w:rsidRPr="00D467CD">
        <w:t>s management to use estimates and assumptions. Accounting for estimates requires the Corporation</w:t>
      </w:r>
      <w:r>
        <w:t>'</w:t>
      </w:r>
      <w:r w:rsidRPr="00D467CD">
        <w:t>s management to use its judgement to determine the amount to be recorded on its financial statements in connection with these estimates. If the estimates and assumptions are inaccurate, the Corporation could be required to write down its recorded values. On an ongoing basis, the Corporation re-evaluates its estimates and assumptions. However, the actual amounts could differ from those based on estimates and assumptions.</w:t>
      </w:r>
    </w:p>
    <w:p w14:paraId="0AA545FF" w14:textId="77777777" w:rsidR="009633AC" w:rsidRPr="00D467CD" w:rsidRDefault="009633AC" w:rsidP="009633AC">
      <w:pPr>
        <w:pStyle w:val="ProspectusL3"/>
      </w:pPr>
      <w:bookmarkStart w:id="51" w:name="_Toc158752306"/>
      <w:r w:rsidRPr="00D467CD">
        <w:t>The Corporation is exposed to fluctuations in exchange rates</w:t>
      </w:r>
      <w:bookmarkEnd w:id="51"/>
    </w:p>
    <w:p w14:paraId="017AF605" w14:textId="77777777" w:rsidR="009633AC" w:rsidRPr="00D467CD" w:rsidRDefault="009633AC" w:rsidP="009633AC">
      <w:pPr>
        <w:pStyle w:val="ProspectusCont3"/>
      </w:pPr>
      <w:r w:rsidRPr="00D467CD">
        <w:t>A portion of the Corporation</w:t>
      </w:r>
      <w:r>
        <w:t>'</w:t>
      </w:r>
      <w:r w:rsidRPr="00D467CD">
        <w:t>s undertakings will be in Greenland although the majority of the Corporation</w:t>
      </w:r>
      <w:r>
        <w:t>'</w:t>
      </w:r>
      <w:r w:rsidRPr="00D467CD">
        <w:t xml:space="preserve">s expenditure will relate to goods or staff sourced from other countries including, but not limited to, Canada, Iceland and the UK. The Corporation estimates that expenses, capital expenditure and commitments will be primarily denominated in Danish Krone, Euros, Canadian dollars, U.S. dollars and UK Pound Sterling. This results in the expenditure and cash flows of the Corporation being exposed to fluctuations and volatilities in exchange rates, as determined in international markets. Furthermore, as the Corporation will report its financial results in Canadian </w:t>
      </w:r>
      <w:r w:rsidRPr="00D467CD">
        <w:lastRenderedPageBreak/>
        <w:t>dollars, the Corporation is exposed to translation risk, and its financial results, as well as the amount of funds available to pay future dividends should a dividend be proposed, will fluctuate with changes in exchange rates. Changes in exchange rates are outside the Corporation</w:t>
      </w:r>
      <w:r>
        <w:t>'</w:t>
      </w:r>
      <w:r w:rsidRPr="00D467CD">
        <w:t>s control.</w:t>
      </w:r>
    </w:p>
    <w:p w14:paraId="653CE200" w14:textId="77777777" w:rsidR="009633AC" w:rsidRPr="00D467CD" w:rsidRDefault="009633AC" w:rsidP="009633AC">
      <w:pPr>
        <w:pStyle w:val="ProspectusL3"/>
      </w:pPr>
      <w:bookmarkStart w:id="52" w:name="_Toc137380003"/>
      <w:bookmarkStart w:id="53" w:name="_Toc137380241"/>
      <w:bookmarkStart w:id="54" w:name="_Toc158752307"/>
      <w:bookmarkEnd w:id="52"/>
      <w:bookmarkEnd w:id="53"/>
      <w:r w:rsidRPr="00D467CD">
        <w:t>Changes in accounting policies or accounting standards could affect the Corporation</w:t>
      </w:r>
      <w:bookmarkEnd w:id="54"/>
    </w:p>
    <w:p w14:paraId="6BB6FF14" w14:textId="77777777" w:rsidR="009633AC" w:rsidRPr="00D467CD" w:rsidRDefault="009633AC" w:rsidP="009633AC">
      <w:pPr>
        <w:pStyle w:val="ProspectusCont3"/>
      </w:pPr>
      <w:r w:rsidRPr="00D467CD">
        <w:t>The Corporation may be impacted by changes in accounting policies or accounting standards and the interpretation of such policies and standards. In some cases, the Corporation may be required to apply a new or revised standard, or alter the application of an existing standard, subsequently, calling for a restatement of prior period financial statements necessary. There is uncertainty surrounding the Corporation</w:t>
      </w:r>
      <w:r>
        <w:t>'</w:t>
      </w:r>
      <w:r w:rsidRPr="00D467CD">
        <w:t>s judgement, estimates and assumptions, therefore the Corporation cannot guarantee that it will not be required to make changes to the accounting estimates or restate prior financial statements in the future, which could materially and adversely affect the Corporation.</w:t>
      </w:r>
    </w:p>
    <w:p w14:paraId="666488D7" w14:textId="77777777" w:rsidR="009633AC" w:rsidRPr="00D467CD" w:rsidRDefault="009633AC" w:rsidP="009633AC">
      <w:pPr>
        <w:pStyle w:val="ProspectusL3"/>
      </w:pPr>
      <w:bookmarkStart w:id="55" w:name="_Toc137380005"/>
      <w:bookmarkStart w:id="56" w:name="_Toc137380243"/>
      <w:bookmarkStart w:id="57" w:name="_Toc158752308"/>
      <w:bookmarkEnd w:id="55"/>
      <w:bookmarkEnd w:id="56"/>
      <w:r w:rsidRPr="00D467CD">
        <w:t>Fair value risk</w:t>
      </w:r>
      <w:bookmarkEnd w:id="57"/>
    </w:p>
    <w:p w14:paraId="39E29392" w14:textId="77777777" w:rsidR="009633AC" w:rsidRPr="00D467CD" w:rsidRDefault="009633AC" w:rsidP="009633AC">
      <w:pPr>
        <w:pStyle w:val="ProspectusCont3"/>
      </w:pPr>
      <w:r w:rsidRPr="00D467CD">
        <w:t>According to the</w:t>
      </w:r>
      <w:r w:rsidRPr="00D467CD">
        <w:rPr>
          <w:lang w:val="is-IS"/>
        </w:rPr>
        <w:t xml:space="preserve"> </w:t>
      </w:r>
      <w:r w:rsidRPr="00D467CD">
        <w:t xml:space="preserve">IFRS principles the Corporation initially records all financial instruments at </w:t>
      </w:r>
      <w:r>
        <w:t>f</w:t>
      </w:r>
      <w:r w:rsidRPr="00D467CD">
        <w:t>air value. Fair value of some assets and liabilities are sensitive to changes in market interest rates, especially in a more volatile market environment. Fair value estimates are made at the consolidated statement of financial position date, based on relevant market information and other information about financial instruments. As at December 31, 2023, the Corporation</w:t>
      </w:r>
      <w:r>
        <w:t>'s</w:t>
      </w:r>
      <w:r w:rsidRPr="00D467CD">
        <w:t xml:space="preserve"> financial instruments are cash, escrow account for environmental monitoring, trade and other payables and lease liabilities. For all the financial instruments, the amounts reflected in the consolidated statement of financial position are carrying amounts and approximate their fair values due to their short-term nature.</w:t>
      </w:r>
    </w:p>
    <w:p w14:paraId="44441E5B" w14:textId="77777777" w:rsidR="009633AC" w:rsidRPr="00D467CD" w:rsidRDefault="009633AC" w:rsidP="009633AC">
      <w:pPr>
        <w:pStyle w:val="ProspectusL3"/>
      </w:pPr>
      <w:bookmarkStart w:id="58" w:name="_Toc137380007"/>
      <w:bookmarkStart w:id="59" w:name="_Toc137380245"/>
      <w:bookmarkStart w:id="60" w:name="_Toc137380008"/>
      <w:bookmarkStart w:id="61" w:name="_Toc137380246"/>
      <w:bookmarkStart w:id="62" w:name="_Toc158752309"/>
      <w:bookmarkEnd w:id="58"/>
      <w:bookmarkEnd w:id="59"/>
      <w:bookmarkEnd w:id="60"/>
      <w:bookmarkEnd w:id="61"/>
      <w:r w:rsidRPr="00D467CD">
        <w:t>Credit risk</w:t>
      </w:r>
      <w:bookmarkEnd w:id="62"/>
    </w:p>
    <w:p w14:paraId="044D6C7E" w14:textId="77777777" w:rsidR="009633AC" w:rsidRPr="00D467CD" w:rsidRDefault="009633AC" w:rsidP="009633AC">
      <w:pPr>
        <w:pStyle w:val="ProspectusCont3"/>
      </w:pPr>
      <w:r w:rsidRPr="00D467CD">
        <w:t>Credit risk is the risk that one counterparty to a financial instrument will cause a financial loss for the other party by failing to discharge an obligation. The Corporation</w:t>
      </w:r>
      <w:r>
        <w:t>'</w:t>
      </w:r>
      <w:r w:rsidRPr="00D467CD">
        <w:t xml:space="preserve">s cash and escrow account for environmental monitoring are exposed to credit risk. The account balance is not considered to be material.  </w:t>
      </w:r>
      <w:r>
        <w:t xml:space="preserve">The </w:t>
      </w:r>
      <w:r w:rsidRPr="00D467CD">
        <w:t xml:space="preserve">Corporation identifies this as a risk because the Corporation´s ability to fulfil obligations to the Government of Greenland in case of a request to use the funds for reclamation activities depend on the banks fulfilling </w:t>
      </w:r>
      <w:r>
        <w:t>their</w:t>
      </w:r>
      <w:r w:rsidRPr="00D467CD">
        <w:t xml:space="preserve"> obligations. The risk is, however, not material because the Bank of Greenland (GrønlandsBANKEN A/S) is the largest bank in Greenland founded by Danish banks, with a long history of being a reliable business partner and a low risk of any non-liquidity event. </w:t>
      </w:r>
      <w:r>
        <w:t>I</w:t>
      </w:r>
      <w:r w:rsidRPr="00D467CD">
        <w:t>n any event of default by the Bank of Greenland, the Corporation´s obligations to the Government of Greenland will be fulfilled with the funds that are kept in Canadian or Icelandic banks.</w:t>
      </w:r>
    </w:p>
    <w:p w14:paraId="2947D2AD" w14:textId="77777777" w:rsidR="009633AC" w:rsidRPr="00D467CD" w:rsidRDefault="009633AC" w:rsidP="009633AC">
      <w:pPr>
        <w:pStyle w:val="ProspectusL2"/>
      </w:pPr>
      <w:bookmarkStart w:id="63" w:name="_Toc158752310"/>
      <w:r w:rsidRPr="00D467CD">
        <w:t xml:space="preserve">Risks </w:t>
      </w:r>
      <w:r>
        <w:t>R</w:t>
      </w:r>
      <w:r w:rsidRPr="00D467CD">
        <w:t xml:space="preserve">elated to </w:t>
      </w:r>
      <w:r>
        <w:t>O</w:t>
      </w:r>
      <w:r w:rsidRPr="00D467CD">
        <w:t>perating in Greenland</w:t>
      </w:r>
      <w:bookmarkEnd w:id="63"/>
    </w:p>
    <w:p w14:paraId="4369F377" w14:textId="77777777" w:rsidR="009633AC" w:rsidRPr="00D467CD" w:rsidRDefault="009633AC" w:rsidP="009633AC">
      <w:pPr>
        <w:pStyle w:val="ProspectusL3"/>
      </w:pPr>
      <w:bookmarkStart w:id="64" w:name="_Toc158752311"/>
      <w:r w:rsidRPr="00D467CD">
        <w:t>The Corporation may lose its interest in licences</w:t>
      </w:r>
      <w:bookmarkEnd w:id="64"/>
    </w:p>
    <w:p w14:paraId="52ADF40C" w14:textId="77777777" w:rsidR="009633AC" w:rsidRPr="00D467CD" w:rsidRDefault="009633AC" w:rsidP="009633AC">
      <w:pPr>
        <w:pStyle w:val="ProspectusCont3"/>
      </w:pPr>
      <w:r w:rsidRPr="00D467CD">
        <w:t xml:space="preserve">The main operations are in Greenland. Interests in licences in Greenland are for specific terms and carry with them estimated annual expenditure and reporting commitments, as well as other conditions requiring compliance. The Corporation could lose title to, or its interest in, </w:t>
      </w:r>
      <w:r>
        <w:t>its</w:t>
      </w:r>
      <w:r w:rsidRPr="00D467CD">
        <w:t xml:space="preserve"> </w:t>
      </w:r>
      <w:r>
        <w:t>l</w:t>
      </w:r>
      <w:r w:rsidRPr="00D467CD">
        <w:t xml:space="preserve">icences if their conditions are not met. In particular, the Nalunaq Property is currently within the Nalunaq Licence. Under the current terms of the Nalunaq Licence, the Nalunaq Property is required to commence mine production by January </w:t>
      </w:r>
      <w:r>
        <w:t xml:space="preserve">1, </w:t>
      </w:r>
      <w:r w:rsidRPr="00D467CD">
        <w:t xml:space="preserve">2026 although the scale of this production is not specified. Failure to satisfy any of the conditions set forth in addendums to the Nalunaq Licence may result in the MLSA revoking the Nalunaq Licence without further notice. There is no guarantee that, when the </w:t>
      </w:r>
      <w:r>
        <w:t>l</w:t>
      </w:r>
      <w:r w:rsidRPr="00D467CD">
        <w:t xml:space="preserve">icences reach the end of their current term, they will be renewed or, if they are renewed, that such renewal will be on the same terms. Under Section 88 of the Greenland Parliament Act No. 7 of December </w:t>
      </w:r>
      <w:r>
        <w:t xml:space="preserve">7, </w:t>
      </w:r>
      <w:r w:rsidRPr="00D467CD">
        <w:t xml:space="preserve">2009 on mineral resources and mineral resource activities (Mineral Resources Act), a direct or indirect transfer of a licence granted under the mineral resources Act to a third party is subject to approval by the Government of Greenland. An </w:t>
      </w:r>
      <w:r>
        <w:t>"</w:t>
      </w:r>
      <w:r w:rsidRPr="00D467CD">
        <w:t>indirect transfer</w:t>
      </w:r>
      <w:r>
        <w:t>"</w:t>
      </w:r>
      <w:r w:rsidRPr="00D467CD">
        <w:t xml:space="preserve"> includes any transfer of ownership interests that will affect the controlling interest of the licensee and would include any transfer of shares in Nalunaq A/S (as licensee) or of Amaroq that would result in any single shareholder, or group of shareholders who act collectively, (a) owning or controlling a majority of the voting shares of the company; (b) owning or controlling a majority of the total shares of the company; (c) directly or indirectly having the right to appoint or remove the majority of the board of directors of the company; or (d) directly or indirectly, holding majority influence </w:t>
      </w:r>
      <w:r w:rsidRPr="00D467CD">
        <w:lastRenderedPageBreak/>
        <w:t>over either the board or the management of the company. Any such indirect transfer would require approval from the Government of Greenland and, if such approval were not obtained, could result in the revocation of the licences.</w:t>
      </w:r>
    </w:p>
    <w:p w14:paraId="767845B3" w14:textId="77777777" w:rsidR="009633AC" w:rsidRPr="00D467CD" w:rsidRDefault="009633AC" w:rsidP="009633AC">
      <w:pPr>
        <w:pStyle w:val="ProspectusL3"/>
      </w:pPr>
      <w:bookmarkStart w:id="65" w:name="_Toc158752312"/>
      <w:r w:rsidRPr="00D467CD">
        <w:t>The Corporation</w:t>
      </w:r>
      <w:r>
        <w:t>'</w:t>
      </w:r>
      <w:r w:rsidRPr="00D467CD">
        <w:t>s operations depend on permits and government regulations</w:t>
      </w:r>
      <w:bookmarkEnd w:id="65"/>
    </w:p>
    <w:p w14:paraId="7F16DFF5" w14:textId="77777777" w:rsidR="009633AC" w:rsidRDefault="009633AC" w:rsidP="009633AC">
      <w:pPr>
        <w:pStyle w:val="ProspectusCont3"/>
      </w:pPr>
      <w:r w:rsidRPr="00D467CD">
        <w:t>The Corporation</w:t>
      </w:r>
      <w:r>
        <w:t>'</w:t>
      </w:r>
      <w:r w:rsidRPr="00D467CD">
        <w:t xml:space="preserve">s future operations on the Properties, including exploration and any development activities or commencement of production on the Properties, require permits and approvals from various governmental authorities and such operations are and will be governed by laws and regulations governing prospecting, development, mining, production, exports, taxes, labour standards, occupational health, waste disposal, toxic substances, land use, environmental protection, protection of endangered and protected species, treatment of indigenous people, mine safety and other matters. All activities covered by licences granted under the mineral resources </w:t>
      </w:r>
      <w:r>
        <w:t>a</w:t>
      </w:r>
      <w:r w:rsidRPr="00D467CD">
        <w:t xml:space="preserve">ct must be approved by the Government of Greenland before implementation in accordance with the terms laid down in the relevant licence. In particular, works performed in connection with activities under the mineral resources </w:t>
      </w:r>
      <w:r>
        <w:t>a</w:t>
      </w:r>
      <w:r w:rsidRPr="00D467CD">
        <w:t>ct (including drilling, shaft sinking, driving of drifts, etc.) must in each case be approved by the Government of Greenland before implementation; before exploitation is initiated, the Government of Greenland must have approved an exploitation plan for the enterprise, including production organisation and related facilities; and the licensee must also submit a closure plan in connection with an application for approval of exploitation measures (the Government of Greenland must approve the closure plan before exploitation is initiated which may be subject to terms relating to protection of the environment and safety and health measures after the cessation of activities, including monitoring in a period after closure).</w:t>
      </w:r>
    </w:p>
    <w:p w14:paraId="2B9AA4A1" w14:textId="77777777" w:rsidR="009633AC" w:rsidRDefault="009633AC" w:rsidP="009633AC">
      <w:pPr>
        <w:pStyle w:val="ProspectusCont3"/>
        <w:rPr>
          <w:lang w:val="en-GB"/>
        </w:rPr>
      </w:pPr>
      <w:r w:rsidRPr="00D467CD">
        <w:rPr>
          <w:lang w:val="en-GB"/>
        </w:rPr>
        <w:t>To the extent that such permits or approvals are required and not obtained, the Corporation may be delayed or prohibited from proceeding with planned exploration or development of the Properties. The costs and delays associated with obtaining necessary permits or approvals and complying with their terms and applicable laws may have a material adverse effect on the operations, financial condition, and results of the Corporation.</w:t>
      </w:r>
    </w:p>
    <w:p w14:paraId="66AA7A3F" w14:textId="77777777" w:rsidR="009633AC" w:rsidRDefault="009633AC" w:rsidP="009633AC">
      <w:pPr>
        <w:pStyle w:val="ProspectusCont3"/>
        <w:rPr>
          <w:lang w:val="en-GB"/>
        </w:rPr>
      </w:pPr>
      <w:r w:rsidRPr="00D467CD">
        <w:rPr>
          <w:lang w:val="en-GB"/>
        </w:rPr>
        <w:t>Failure to comply with applicable laws, regulations and permitting requirements may result in enforcement actions thereunder, including orders issued by regulatory or judicial authorities causing operations to cease or to be curtailed, and may include corrective measures requiring capital expenditures, installation of additional equipment, or remedial actions. Parties engaged in mining operations may be required to compensate those suffering loss or damage by reason of the mining activities and may have civil or criminal fines or penalties imposed for violations of applicable laws or regulations.</w:t>
      </w:r>
    </w:p>
    <w:p w14:paraId="3520A0D9" w14:textId="77777777" w:rsidR="009633AC" w:rsidRPr="00D467CD" w:rsidRDefault="009633AC" w:rsidP="009633AC">
      <w:pPr>
        <w:pStyle w:val="ProspectusCont3"/>
        <w:rPr>
          <w:lang w:val="en-GB"/>
        </w:rPr>
      </w:pPr>
      <w:r w:rsidRPr="00D467CD">
        <w:rPr>
          <w:lang w:val="en-GB"/>
        </w:rPr>
        <w:t>The Government of Greenland may from time to time change the Greenland Exploration Standard Terms (</w:t>
      </w:r>
      <w:r>
        <w:rPr>
          <w:lang w:val="en-GB"/>
        </w:rPr>
        <w:t>"</w:t>
      </w:r>
      <w:r w:rsidRPr="00D467CD">
        <w:rPr>
          <w:lang w:val="en-GB"/>
        </w:rPr>
        <w:t>Greenland Exploration Standard Terms</w:t>
      </w:r>
      <w:r>
        <w:rPr>
          <w:lang w:val="en-GB"/>
        </w:rPr>
        <w:t>"</w:t>
      </w:r>
      <w:r w:rsidRPr="00D467CD">
        <w:rPr>
          <w:lang w:val="en-GB"/>
        </w:rPr>
        <w:t xml:space="preserve">) and the royalties imposed on proceeds from mineral exploitation. In particular, Addendum No. 3 of July </w:t>
      </w:r>
      <w:r>
        <w:rPr>
          <w:lang w:val="en-GB"/>
        </w:rPr>
        <w:t xml:space="preserve">1, </w:t>
      </w:r>
      <w:r w:rsidRPr="00D467CD">
        <w:rPr>
          <w:lang w:val="en-GB"/>
        </w:rPr>
        <w:t xml:space="preserve">2014 to the Greenland Exploration Standard Terms provides that, for licences granted on July </w:t>
      </w:r>
      <w:r>
        <w:rPr>
          <w:lang w:val="en-GB"/>
        </w:rPr>
        <w:t xml:space="preserve">1, </w:t>
      </w:r>
      <w:r w:rsidRPr="00D467CD">
        <w:rPr>
          <w:lang w:val="en-GB"/>
        </w:rPr>
        <w:t xml:space="preserve">2014 or later, new rules and regulations may be made which amend the terms of such licence (with prospective effect) in accordance with the terms of such Addendum. The Greenland parliament (Inatsisartut) may also amend or replace the mineral resources Act. Amendments to the terms one, or more, of the </w:t>
      </w:r>
      <w:r>
        <w:rPr>
          <w:lang w:val="en-GB"/>
        </w:rPr>
        <w:t>l</w:t>
      </w:r>
      <w:r w:rsidRPr="00D467CD">
        <w:rPr>
          <w:lang w:val="en-GB"/>
        </w:rPr>
        <w:t xml:space="preserve">icences could make the </w:t>
      </w:r>
      <w:r>
        <w:rPr>
          <w:lang w:val="en-GB"/>
        </w:rPr>
        <w:t>l</w:t>
      </w:r>
      <w:r w:rsidRPr="00D467CD">
        <w:rPr>
          <w:lang w:val="en-GB"/>
        </w:rPr>
        <w:t xml:space="preserve">icence uneconomic for the </w:t>
      </w:r>
      <w:r>
        <w:rPr>
          <w:lang w:val="en-GB"/>
        </w:rPr>
        <w:t>Corporation</w:t>
      </w:r>
      <w:r w:rsidRPr="00D467CD">
        <w:rPr>
          <w:lang w:val="en-GB"/>
        </w:rPr>
        <w:t>.</w:t>
      </w:r>
    </w:p>
    <w:p w14:paraId="3FC77621" w14:textId="77777777" w:rsidR="009633AC" w:rsidRPr="00D467CD" w:rsidRDefault="009633AC" w:rsidP="009633AC">
      <w:pPr>
        <w:pStyle w:val="ProspectusL3"/>
      </w:pPr>
      <w:bookmarkStart w:id="66" w:name="_Toc158752313"/>
      <w:r w:rsidRPr="00D467CD">
        <w:t xml:space="preserve">The </w:t>
      </w:r>
      <w:r>
        <w:t>Corporation'</w:t>
      </w:r>
      <w:r w:rsidRPr="00D467CD">
        <w:t>s operations are subject to compliance with environmental laws and regulations</w:t>
      </w:r>
      <w:bookmarkEnd w:id="66"/>
    </w:p>
    <w:p w14:paraId="620BACE6" w14:textId="77777777" w:rsidR="009633AC" w:rsidRDefault="009633AC" w:rsidP="009633AC">
      <w:pPr>
        <w:pStyle w:val="ProspectusCont3"/>
      </w:pPr>
      <w:r w:rsidRPr="00D467CD">
        <w:t>The Corporation</w:t>
      </w:r>
      <w:r>
        <w:t>'</w:t>
      </w:r>
      <w:r w:rsidRPr="00D467CD">
        <w:t>s operations are subject to environmental and social regulations.</w:t>
      </w:r>
    </w:p>
    <w:p w14:paraId="74F4D662" w14:textId="77777777" w:rsidR="009633AC" w:rsidRDefault="009633AC" w:rsidP="009633AC">
      <w:pPr>
        <w:pStyle w:val="ProspectusCont3"/>
        <w:rPr>
          <w:lang w:val="en-GB"/>
        </w:rPr>
      </w:pPr>
      <w:r>
        <w:rPr>
          <w:lang w:val="en-US"/>
        </w:rPr>
        <w:t>Following an</w:t>
      </w:r>
      <w:r w:rsidRPr="00B02EC5">
        <w:rPr>
          <w:lang w:val="en-US"/>
        </w:rPr>
        <w:t xml:space="preserve"> extensive preparation period that continued throughout 2023</w:t>
      </w:r>
      <w:r w:rsidRPr="00D467CD">
        <w:rPr>
          <w:lang w:val="en-GB"/>
        </w:rPr>
        <w:t>, the Corporation</w:t>
      </w:r>
      <w:r>
        <w:rPr>
          <w:lang w:val="en-GB"/>
        </w:rPr>
        <w:t>'</w:t>
      </w:r>
      <w:r w:rsidRPr="00D467CD">
        <w:rPr>
          <w:lang w:val="en-GB"/>
        </w:rPr>
        <w:t xml:space="preserve">s Nalunaq </w:t>
      </w:r>
      <w:r>
        <w:rPr>
          <w:lang w:val="en-GB"/>
        </w:rPr>
        <w:t>g</w:t>
      </w:r>
      <w:r w:rsidRPr="00D467CD">
        <w:rPr>
          <w:lang w:val="en-GB"/>
        </w:rPr>
        <w:t xml:space="preserve">old </w:t>
      </w:r>
      <w:r>
        <w:rPr>
          <w:lang w:val="en-GB"/>
        </w:rPr>
        <w:t>m</w:t>
      </w:r>
      <w:r w:rsidRPr="00D467CD">
        <w:rPr>
          <w:lang w:val="en-GB"/>
        </w:rPr>
        <w:t xml:space="preserve">ine </w:t>
      </w:r>
      <w:r>
        <w:rPr>
          <w:lang w:val="en-GB"/>
        </w:rPr>
        <w:t xml:space="preserve">project </w:t>
      </w:r>
      <w:r w:rsidRPr="00D467CD">
        <w:rPr>
          <w:lang w:val="en-GB"/>
        </w:rPr>
        <w:t>has entered into the official process of public consultations in Greenland with regard to EIA and SIA. The EIA and SIA reports were filed in December 2023 with Greenland MLSA and are publicly available.</w:t>
      </w:r>
    </w:p>
    <w:p w14:paraId="6FD15DD7" w14:textId="77777777" w:rsidR="009633AC" w:rsidRDefault="009633AC" w:rsidP="009633AC">
      <w:pPr>
        <w:pStyle w:val="ProspectusCont3"/>
        <w:rPr>
          <w:lang w:val="en-GB"/>
        </w:rPr>
      </w:pPr>
      <w:r w:rsidRPr="00D467CD">
        <w:rPr>
          <w:lang w:val="en-GB"/>
        </w:rPr>
        <w:t>The environmental risks were evaluated by the Corporation and described in EIA and SIA in detail; with the mitigation measures included into relevant project elements design and action plans. Based on the EIA and SIA the ESG Risk Register was created at the end of 2023; the ESG risk management system will be elaborated and set up during 2024.</w:t>
      </w:r>
    </w:p>
    <w:p w14:paraId="4E0A0534" w14:textId="77777777" w:rsidR="009633AC" w:rsidRDefault="009633AC" w:rsidP="009633AC">
      <w:pPr>
        <w:pStyle w:val="ProspectusCont3"/>
        <w:rPr>
          <w:lang w:val="en-GB"/>
        </w:rPr>
      </w:pPr>
      <w:r w:rsidRPr="00D467CD">
        <w:rPr>
          <w:lang w:val="en-GB"/>
        </w:rPr>
        <w:t>As a result of public consultations, the agreements with Greenlandic authorities will be negotiated and signed regarding the Environmental Monitoring Program, including quantitative targets, and the Impact Benefits Agreement (for social responsibility commitments). These agreements will determine some of the Corporation</w:t>
      </w:r>
      <w:r>
        <w:rPr>
          <w:lang w:val="en-GB"/>
        </w:rPr>
        <w:t>'</w:t>
      </w:r>
      <w:r w:rsidRPr="00D467CD">
        <w:rPr>
          <w:lang w:val="en-GB"/>
        </w:rPr>
        <w:t>s liabilities and requirements regarding compliance with local ESG regulation.</w:t>
      </w:r>
    </w:p>
    <w:p w14:paraId="71767EB8" w14:textId="77777777" w:rsidR="009633AC" w:rsidRDefault="009633AC" w:rsidP="009633AC">
      <w:pPr>
        <w:pStyle w:val="ProspectusCont3"/>
        <w:rPr>
          <w:lang w:val="en-GB"/>
        </w:rPr>
      </w:pPr>
      <w:r w:rsidRPr="00D467CD">
        <w:rPr>
          <w:lang w:val="en-GB"/>
        </w:rPr>
        <w:lastRenderedPageBreak/>
        <w:t>The Corporation recognizes the importance of social and environment responsibility,</w:t>
      </w:r>
      <w:r>
        <w:rPr>
          <w:lang w:val="en-GB"/>
        </w:rPr>
        <w:t xml:space="preserve"> and</w:t>
      </w:r>
      <w:r w:rsidRPr="00D467CD">
        <w:rPr>
          <w:lang w:val="en-GB"/>
        </w:rPr>
        <w:t xml:space="preserve"> close co-operation and building long-lasting partnership with the host communities.</w:t>
      </w:r>
    </w:p>
    <w:p w14:paraId="69E84916" w14:textId="77777777" w:rsidR="009633AC" w:rsidRPr="00D467CD" w:rsidRDefault="009633AC" w:rsidP="009633AC">
      <w:pPr>
        <w:pStyle w:val="ProspectusCont3"/>
        <w:rPr>
          <w:lang w:val="en-GB"/>
        </w:rPr>
      </w:pPr>
      <w:r w:rsidRPr="00D467CD">
        <w:rPr>
          <w:lang w:val="en-GB"/>
        </w:rPr>
        <w:t>Therefore, the Corporation has adopted during 2023 a set of new policy documents that, along with earlier adopted documents, constitute a governance framework for an environmental risk mitigation system, including: </w:t>
      </w:r>
    </w:p>
    <w:p w14:paraId="0F48AEBB" w14:textId="77777777" w:rsidR="009633AC" w:rsidRPr="00D467CD" w:rsidRDefault="009633AC" w:rsidP="009633AC">
      <w:pPr>
        <w:pStyle w:val="ProspectusL8"/>
      </w:pPr>
      <w:r w:rsidRPr="00CB4A9D">
        <w:rPr>
          <w:i/>
          <w:iCs/>
        </w:rPr>
        <w:t>Environmental Policy</w:t>
      </w:r>
      <w:r w:rsidRPr="00D467CD">
        <w:t xml:space="preserve"> (approved by the </w:t>
      </w:r>
      <w:r>
        <w:t>b</w:t>
      </w:r>
      <w:r w:rsidRPr="00D467CD">
        <w:t>oard</w:t>
      </w:r>
      <w:r>
        <w:t xml:space="preserve"> of directors</w:t>
      </w:r>
      <w:r w:rsidRPr="00D467CD">
        <w:t xml:space="preserve"> on August </w:t>
      </w:r>
      <w:r>
        <w:t xml:space="preserve">28, </w:t>
      </w:r>
      <w:r w:rsidRPr="00D467CD">
        <w:t>2023). This policy constitutes the Corporation</w:t>
      </w:r>
      <w:r>
        <w:t>'</w:t>
      </w:r>
      <w:r w:rsidRPr="00D467CD">
        <w:t>s commitment to social responsibilities, the health and safety of its employees and respect for the environment where it operates and outlines its guiding principles in this regard.  </w:t>
      </w:r>
    </w:p>
    <w:p w14:paraId="7263F853" w14:textId="77777777" w:rsidR="009633AC" w:rsidRPr="00D467CD" w:rsidRDefault="009633AC" w:rsidP="009633AC">
      <w:pPr>
        <w:pStyle w:val="ProspectusL8"/>
      </w:pPr>
      <w:r w:rsidRPr="00CB4A9D">
        <w:rPr>
          <w:i/>
          <w:iCs/>
        </w:rPr>
        <w:t>Health and Safety Policy</w:t>
      </w:r>
      <w:r w:rsidRPr="00D467CD">
        <w:t xml:space="preserve"> (approved by the </w:t>
      </w:r>
      <w:r>
        <w:t>b</w:t>
      </w:r>
      <w:r w:rsidRPr="00D467CD">
        <w:t>oard</w:t>
      </w:r>
      <w:r>
        <w:t xml:space="preserve"> of directors</w:t>
      </w:r>
      <w:r w:rsidRPr="00D467CD">
        <w:t xml:space="preserve"> on August </w:t>
      </w:r>
      <w:r>
        <w:t xml:space="preserve">28, </w:t>
      </w:r>
      <w:r w:rsidRPr="00D467CD">
        <w:t>2023). The Corporation is committed to the goal of Zero Harm and aims to eliminate all accidents and potential hazards and reach our objective of zero injuries. Achieving this requires the full understanding of everyone in the organization of their safety responsibilities and their commitment to fostering a proactive safety culture, based on a duty of care for oneself, ones co-workers and members of the community. </w:t>
      </w:r>
    </w:p>
    <w:p w14:paraId="003A716E" w14:textId="77777777" w:rsidR="009633AC" w:rsidRPr="00D467CD" w:rsidRDefault="009633AC" w:rsidP="009633AC">
      <w:pPr>
        <w:pStyle w:val="ProspectusL8"/>
      </w:pPr>
      <w:r w:rsidRPr="00CB4A9D">
        <w:rPr>
          <w:i/>
          <w:iCs/>
        </w:rPr>
        <w:t>Human Development Policy</w:t>
      </w:r>
      <w:r w:rsidRPr="00D467CD">
        <w:t xml:space="preserve"> (approved by the </w:t>
      </w:r>
      <w:r>
        <w:t>b</w:t>
      </w:r>
      <w:r w:rsidRPr="00D467CD">
        <w:t>oard</w:t>
      </w:r>
      <w:r>
        <w:t xml:space="preserve"> of directors</w:t>
      </w:r>
      <w:r w:rsidRPr="00D467CD">
        <w:t xml:space="preserve"> on December </w:t>
      </w:r>
      <w:r>
        <w:t xml:space="preserve">22, </w:t>
      </w:r>
      <w:r w:rsidRPr="00D467CD">
        <w:t>2023). This policy embodies the dedication to not only adhering to the highest standards of industry practice but also to respecting the distinctive cultural and environmental landscape of Greenland. </w:t>
      </w:r>
    </w:p>
    <w:p w14:paraId="5D1E4461" w14:textId="77777777" w:rsidR="009633AC" w:rsidRDefault="009633AC" w:rsidP="009633AC">
      <w:pPr>
        <w:pStyle w:val="ProspectusCont3"/>
      </w:pPr>
      <w:r w:rsidRPr="00D467CD">
        <w:t xml:space="preserve">The </w:t>
      </w:r>
      <w:r>
        <w:t>Corporation</w:t>
      </w:r>
      <w:r w:rsidRPr="00D467CD">
        <w:t xml:space="preserve"> is subject to potential risks and unanticipated liabilities associated with its activities, including negative impacts to the environment from operations, waste management and site discharges. The Corporation is aware that chemicals have been left at the Nalunaq Property by the previous operator and Nalunaq A/S has agreed a remediation plan with the MLSA in relation to how such chemicals will be disposed of. However, previous operations may have caused environmental damage at certain of the </w:t>
      </w:r>
      <w:r>
        <w:t>Corporation'</w:t>
      </w:r>
      <w:r w:rsidRPr="00D467CD">
        <w:t xml:space="preserve">s properties. It may be difficult or impossible to assess the extent to which such damage was caused by the </w:t>
      </w:r>
      <w:r>
        <w:t>Corporation</w:t>
      </w:r>
      <w:r w:rsidRPr="00D467CD">
        <w:t xml:space="preserve"> or by the activities of previous operators, in which case the </w:t>
      </w:r>
      <w:r>
        <w:t>Corporation</w:t>
      </w:r>
      <w:r w:rsidRPr="00D467CD">
        <w:t xml:space="preserve"> may be responsible for the costs of reclamation. It should be noted however that after the mine was closed in 2014, a 5-year environmental monitoring programme was undertaken, and the Danish Centre for Environment and Energy </w:t>
      </w:r>
      <w:r w:rsidRPr="00D467CD">
        <w:rPr>
          <w:bCs/>
        </w:rPr>
        <w:t>(</w:t>
      </w:r>
      <w:r w:rsidRPr="00D467CD">
        <w:t>DCE) assessed that the environmental impact from the former mining activities to the environment at Nalunaq at that time was insignificant and that no further actions were needed to reduce the environmental impact.</w:t>
      </w:r>
    </w:p>
    <w:p w14:paraId="6D3218A6" w14:textId="77777777" w:rsidR="009633AC" w:rsidRDefault="009633AC" w:rsidP="009633AC">
      <w:pPr>
        <w:pStyle w:val="ProspectusCont3"/>
        <w:rPr>
          <w:lang w:val="en-GB"/>
        </w:rPr>
      </w:pPr>
      <w:r w:rsidRPr="00D467CD">
        <w:rPr>
          <w:lang w:val="en-GB"/>
        </w:rPr>
        <w:t>The anticipated costs associated with the remediation plan that has been agreed between Nalunaq A/S and the MLSA are C</w:t>
      </w:r>
      <w:r>
        <w:rPr>
          <w:lang w:val="en-GB"/>
        </w:rPr>
        <w:t>$</w:t>
      </w:r>
      <w:r w:rsidRPr="00D467CD">
        <w:rPr>
          <w:lang w:val="en-GB"/>
        </w:rPr>
        <w:t>585,545 (including a 10 percent contingency). This is fully covered by funds in an escrow account, held by Nalunaq A/S, which the Government of Greenland is beneficiary of. However, it is possible that the escrow funds will not be sufficient to cover future environmental liabilities in connection with the Nalunaq Licence.</w:t>
      </w:r>
    </w:p>
    <w:p w14:paraId="35E8979C" w14:textId="77777777" w:rsidR="009633AC" w:rsidRDefault="009633AC" w:rsidP="009633AC">
      <w:pPr>
        <w:pStyle w:val="ProspectusCont3"/>
        <w:rPr>
          <w:lang w:val="en-GB"/>
        </w:rPr>
      </w:pPr>
      <w:r w:rsidRPr="00D467CD">
        <w:rPr>
          <w:lang w:val="en-GB"/>
        </w:rPr>
        <w:t xml:space="preserve">If the </w:t>
      </w:r>
      <w:r>
        <w:rPr>
          <w:lang w:val="en-GB"/>
        </w:rPr>
        <w:t>Corporation</w:t>
      </w:r>
      <w:r w:rsidRPr="00D467CD">
        <w:rPr>
          <w:lang w:val="en-GB"/>
        </w:rPr>
        <w:t xml:space="preserve"> is unable to remedy an environmental problem fully, it may be required to suspend operations or enter into interim compliance measures pending completion of the required remedy. The potential financial exposure may be significant.</w:t>
      </w:r>
    </w:p>
    <w:p w14:paraId="370D0687" w14:textId="77777777" w:rsidR="009633AC" w:rsidRPr="00D467CD" w:rsidRDefault="009633AC" w:rsidP="009633AC">
      <w:pPr>
        <w:pStyle w:val="ProspectusCont3"/>
        <w:rPr>
          <w:lang w:val="en-GB"/>
        </w:rPr>
      </w:pPr>
      <w:r w:rsidRPr="00D467CD">
        <w:rPr>
          <w:lang w:val="en-GB"/>
        </w:rPr>
        <w:t xml:space="preserve">Environmental legislation is evolving in a manner which will require stricter standards and enforcement, increased fines and penalties for non-compliance, more stringent environmental assessments of proposed projects and a heightened degree of responsibility for companies and their officers, directors and employees. In particular, as mineral resources in Greenland have become more accessible in recent years due to global warming, local communities have raised concerns over the environmental impact of mining in Greenland, and they may lobby for stricter environmental regulations to be introduced. There is no assurance that future changes in environmental regulation, if any, will not adversely affect the </w:t>
      </w:r>
      <w:r>
        <w:rPr>
          <w:lang w:val="en-GB"/>
        </w:rPr>
        <w:t>Corporation's</w:t>
      </w:r>
      <w:r w:rsidRPr="00D467CD">
        <w:rPr>
          <w:lang w:val="en-GB"/>
        </w:rPr>
        <w:t xml:space="preserve"> operations.</w:t>
      </w:r>
    </w:p>
    <w:p w14:paraId="09C02E21" w14:textId="77777777" w:rsidR="009633AC" w:rsidRPr="00D467CD" w:rsidRDefault="009633AC" w:rsidP="009633AC">
      <w:pPr>
        <w:pStyle w:val="ProspectusL3"/>
      </w:pPr>
      <w:bookmarkStart w:id="67" w:name="_Toc158752314"/>
      <w:r w:rsidRPr="00D467CD">
        <w:t>The Corporation is subject to political risks</w:t>
      </w:r>
      <w:bookmarkEnd w:id="67"/>
    </w:p>
    <w:p w14:paraId="2CB66D99" w14:textId="77777777" w:rsidR="009633AC" w:rsidRDefault="009633AC" w:rsidP="009633AC">
      <w:pPr>
        <w:pStyle w:val="ProspectusCont3"/>
      </w:pPr>
      <w:r w:rsidRPr="00D467CD">
        <w:t>The Corporation</w:t>
      </w:r>
      <w:r>
        <w:t>'</w:t>
      </w:r>
      <w:r w:rsidRPr="00D467CD">
        <w:t>s underlying business interests will be located and carried out in Greenland. As a result, the Corporation may be subject to political and other uncertainties, including but not limited to, changes in politics or the personnel administering them, nationali</w:t>
      </w:r>
      <w:r>
        <w:t>z</w:t>
      </w:r>
      <w:r w:rsidRPr="00D467CD">
        <w:t>ation or expropriation of property, cancellation or modification of contractual rights, foreign exchange restrictions, currency fluctuations, royalty and tax increases and other risks arising out of foreign governmental sovereignty over the areas in which the Corporation</w:t>
      </w:r>
      <w:r>
        <w:t>'</w:t>
      </w:r>
      <w:r w:rsidRPr="00D467CD">
        <w:t>s operations are conducted.</w:t>
      </w:r>
    </w:p>
    <w:p w14:paraId="6D97569A" w14:textId="77777777" w:rsidR="009633AC" w:rsidRPr="00D467CD" w:rsidRDefault="009633AC" w:rsidP="009633AC">
      <w:pPr>
        <w:pStyle w:val="ProspectusCont3"/>
        <w:rPr>
          <w:lang w:val="en-GB"/>
        </w:rPr>
      </w:pPr>
      <w:r w:rsidRPr="00D467CD">
        <w:rPr>
          <w:lang w:val="en-GB"/>
        </w:rPr>
        <w:lastRenderedPageBreak/>
        <w:t xml:space="preserve">The Ministry of </w:t>
      </w:r>
      <w:r>
        <w:rPr>
          <w:lang w:val="en-GB"/>
        </w:rPr>
        <w:t>M</w:t>
      </w:r>
      <w:r w:rsidRPr="00D467CD">
        <w:rPr>
          <w:lang w:val="en-GB"/>
        </w:rPr>
        <w:t xml:space="preserve">ineral </w:t>
      </w:r>
      <w:r>
        <w:rPr>
          <w:lang w:val="en-GB"/>
        </w:rPr>
        <w:t>R</w:t>
      </w:r>
      <w:r w:rsidRPr="00D467CD">
        <w:rPr>
          <w:lang w:val="en-GB"/>
        </w:rPr>
        <w:t>esources and Justice has responsibility for the mineral resources area in Greenland. The political condition in Greenland is generally stable; however, changes in exchange rates, control of fiscal regulations and regulatory regimes, labour unrest, inflation or economic recession could affect the Corporation</w:t>
      </w:r>
      <w:r>
        <w:rPr>
          <w:lang w:val="en-GB"/>
        </w:rPr>
        <w:t>'</w:t>
      </w:r>
      <w:r w:rsidRPr="00D467CD">
        <w:rPr>
          <w:lang w:val="en-GB"/>
        </w:rPr>
        <w:t>s business. The management of the Corporation will closely monitor events and take advice, if necessary, from experts to prepare for any eventualities.</w:t>
      </w:r>
    </w:p>
    <w:p w14:paraId="61E251D9" w14:textId="77777777" w:rsidR="009633AC" w:rsidRPr="00D467CD" w:rsidRDefault="009633AC" w:rsidP="009633AC">
      <w:pPr>
        <w:pStyle w:val="ProspectusL3"/>
      </w:pPr>
      <w:bookmarkStart w:id="68" w:name="_Toc158752315"/>
      <w:r w:rsidRPr="00D467CD">
        <w:t>Exploration activities are influenced, amongst others, by the location, its climate and terrain</w:t>
      </w:r>
      <w:bookmarkEnd w:id="68"/>
    </w:p>
    <w:p w14:paraId="426ACE12" w14:textId="77777777" w:rsidR="009633AC" w:rsidRDefault="009633AC" w:rsidP="009633AC">
      <w:pPr>
        <w:pStyle w:val="ProspectusCont3"/>
      </w:pPr>
      <w:r w:rsidRPr="00D467CD">
        <w:t>The Properties are in remote locations in a global context, although not in a Greenlandic context, and require people and equipment to be transported to site, which can add to the complexity and cost of exploration activities and logistics. The climatic conditions allow for surface exploration activities to occur for only a portion of the year, although this should not affect underground exploration, which will limit the amount of surface exploration activity that can be conducted in any one year.</w:t>
      </w:r>
    </w:p>
    <w:p w14:paraId="16705305" w14:textId="77777777" w:rsidR="009633AC" w:rsidRPr="00D467CD" w:rsidRDefault="009633AC" w:rsidP="009633AC">
      <w:pPr>
        <w:pStyle w:val="ProspectusCont3"/>
        <w:rPr>
          <w:lang w:val="en-GB"/>
        </w:rPr>
      </w:pPr>
      <w:r w:rsidRPr="00D467CD">
        <w:rPr>
          <w:lang w:val="en-GB"/>
        </w:rPr>
        <w:t>The Nalunaq Property and other areas of exploration potential are located on steep mountainous terrain. Surface drilling can therefore be impractical in certain parts of these assets, resulting in a greater reliance on underground exploration.</w:t>
      </w:r>
    </w:p>
    <w:p w14:paraId="6E2DAF6B" w14:textId="77777777" w:rsidR="009633AC" w:rsidRPr="00D467CD" w:rsidRDefault="009633AC" w:rsidP="009633AC">
      <w:pPr>
        <w:pStyle w:val="ProspectusL3"/>
      </w:pPr>
      <w:bookmarkStart w:id="69" w:name="_Toc158752316"/>
      <w:r w:rsidRPr="00D467CD">
        <w:t>Weather conditions could have negative impact on the Corporation</w:t>
      </w:r>
      <w:r>
        <w:t>'</w:t>
      </w:r>
      <w:r w:rsidRPr="00D467CD">
        <w:t>s on-going operations and results of operation</w:t>
      </w:r>
      <w:bookmarkEnd w:id="69"/>
    </w:p>
    <w:p w14:paraId="69AF9C72" w14:textId="77777777" w:rsidR="009633AC" w:rsidRPr="00D467CD" w:rsidRDefault="009633AC" w:rsidP="009633AC">
      <w:pPr>
        <w:pStyle w:val="ProspectusCont3"/>
      </w:pPr>
      <w:r w:rsidRPr="00D467CD">
        <w:t>Adverse weather conditions may affect the Corporation</w:t>
      </w:r>
      <w:r>
        <w:t>'</w:t>
      </w:r>
      <w:r w:rsidRPr="00D467CD">
        <w:t>s ability to carry on operations at the Properties. While the exact effect of these factors cannot be accurately predicted, it may result in substantial delays or operational shutdowns, may require significant capital outlays or may result in an inadequate return or loss on invested capital. In addition, the materiali</w:t>
      </w:r>
      <w:r>
        <w:t>z</w:t>
      </w:r>
      <w:r w:rsidRPr="00D467CD">
        <w:t>ation of this risk may adversely affect the Corporation</w:t>
      </w:r>
      <w:r>
        <w:t>'</w:t>
      </w:r>
      <w:r w:rsidRPr="00D467CD">
        <w:t>s future earnings and competitive position and its business, prospects, financial condition and results of operations.</w:t>
      </w:r>
    </w:p>
    <w:p w14:paraId="1111B5EE" w14:textId="77777777" w:rsidR="009633AC" w:rsidRDefault="009633AC" w:rsidP="009633AC">
      <w:pPr>
        <w:pStyle w:val="ProspectusL1"/>
      </w:pPr>
      <w:bookmarkStart w:id="70" w:name="_Toc42803792"/>
      <w:bookmarkStart w:id="71" w:name="_Toc57649489"/>
      <w:bookmarkStart w:id="72" w:name="_Toc161911187"/>
      <w:r w:rsidRPr="00124878">
        <w:t>MINERAL PROPERTIES</w:t>
      </w:r>
      <w:bookmarkEnd w:id="70"/>
      <w:bookmarkEnd w:id="71"/>
      <w:bookmarkEnd w:id="72"/>
    </w:p>
    <w:p w14:paraId="6F7D303E" w14:textId="77777777" w:rsidR="009633AC" w:rsidRDefault="009633AC" w:rsidP="009633AC">
      <w:pPr>
        <w:pStyle w:val="ProspectusCont1"/>
        <w:rPr>
          <w:lang w:val="en-US"/>
        </w:rPr>
      </w:pPr>
      <w:r w:rsidRPr="0040393D">
        <w:rPr>
          <w:lang w:val="en-US"/>
        </w:rPr>
        <w:t>The Corporation holds an interest in thirteen mineral Properties. The</w:t>
      </w:r>
      <w:r w:rsidRPr="00FF1AF7">
        <w:rPr>
          <w:lang w:val="en-US"/>
        </w:rPr>
        <w:t xml:space="preserve"> Nalunaq Property is considered to be the Corporation's sole material property within the meaning of applicable Canadian securities laws.</w:t>
      </w:r>
      <w:r w:rsidRPr="00510E97">
        <w:rPr>
          <w:lang w:val="en-US"/>
        </w:rPr>
        <w:t xml:space="preserve"> The Corporation's </w:t>
      </w:r>
      <w:r>
        <w:rPr>
          <w:lang w:val="en-US"/>
        </w:rPr>
        <w:t>P</w:t>
      </w:r>
      <w:r w:rsidRPr="00510E97">
        <w:rPr>
          <w:lang w:val="en-US"/>
        </w:rPr>
        <w:t>roperties are discussed in detail below</w:t>
      </w:r>
      <w:r>
        <w:rPr>
          <w:lang w:val="en-US"/>
        </w:rPr>
        <w:t xml:space="preserve"> and are identified in the table and figure below</w:t>
      </w:r>
      <w:r w:rsidRPr="00510E97">
        <w:rPr>
          <w:lang w:val="en-US"/>
        </w:rPr>
        <w:t>.</w:t>
      </w:r>
    </w:p>
    <w:p w14:paraId="30B0B0FD" w14:textId="77777777" w:rsidR="009633AC" w:rsidRDefault="009633AC" w:rsidP="009633AC">
      <w:pPr>
        <w:pStyle w:val="BodyText"/>
        <w:rPr>
          <w:lang w:val="en-US"/>
        </w:rPr>
      </w:pPr>
    </w:p>
    <w:tbl>
      <w:tblPr>
        <w:tblStyle w:val="TableGrid"/>
        <w:tblW w:w="0" w:type="auto"/>
        <w:tblInd w:w="1890" w:type="dxa"/>
        <w:tblLook w:val="04A0" w:firstRow="1" w:lastRow="0" w:firstColumn="1" w:lastColumn="0" w:noHBand="0" w:noVBand="1"/>
      </w:tblPr>
      <w:tblGrid>
        <w:gridCol w:w="2520"/>
        <w:gridCol w:w="2340"/>
      </w:tblGrid>
      <w:tr w:rsidR="009633AC" w14:paraId="3C55E0C4" w14:textId="77777777" w:rsidTr="00E25A87">
        <w:tc>
          <w:tcPr>
            <w:tcW w:w="2520" w:type="dxa"/>
          </w:tcPr>
          <w:p w14:paraId="05829422" w14:textId="77777777" w:rsidR="009633AC" w:rsidRPr="00F90730" w:rsidRDefault="009633AC" w:rsidP="00E25A87">
            <w:pPr>
              <w:pStyle w:val="TblTxt-Basic"/>
              <w:pBdr>
                <w:bottom w:val="single" w:sz="4" w:space="1" w:color="auto"/>
              </w:pBdr>
              <w:jc w:val="center"/>
              <w:rPr>
                <w:b/>
                <w:lang w:val="en-US"/>
              </w:rPr>
            </w:pPr>
            <w:r w:rsidRPr="00F90730">
              <w:rPr>
                <w:b/>
              </w:rPr>
              <w:t>Name</w:t>
            </w:r>
          </w:p>
        </w:tc>
        <w:tc>
          <w:tcPr>
            <w:tcW w:w="2340" w:type="dxa"/>
          </w:tcPr>
          <w:p w14:paraId="7D7994FE" w14:textId="77777777" w:rsidR="009633AC" w:rsidRPr="00F90730" w:rsidRDefault="009633AC" w:rsidP="00E25A87">
            <w:pPr>
              <w:pStyle w:val="TblTxt-Basic"/>
              <w:pBdr>
                <w:bottom w:val="single" w:sz="4" w:space="1" w:color="auto"/>
              </w:pBdr>
              <w:jc w:val="center"/>
              <w:rPr>
                <w:b/>
                <w:lang w:val="en-US"/>
              </w:rPr>
            </w:pPr>
            <w:r>
              <w:rPr>
                <w:b/>
              </w:rPr>
              <w:t xml:space="preserve">Licence </w:t>
            </w:r>
            <w:r w:rsidRPr="00F90730">
              <w:rPr>
                <w:b/>
              </w:rPr>
              <w:t>Number</w:t>
            </w:r>
          </w:p>
        </w:tc>
      </w:tr>
      <w:tr w:rsidR="009633AC" w14:paraId="75917D20" w14:textId="77777777" w:rsidTr="00E25A87">
        <w:tc>
          <w:tcPr>
            <w:tcW w:w="2520" w:type="dxa"/>
          </w:tcPr>
          <w:p w14:paraId="459C88DC" w14:textId="77777777" w:rsidR="009633AC" w:rsidRDefault="009633AC" w:rsidP="00E25A87">
            <w:pPr>
              <w:pStyle w:val="TblTxt-Basic"/>
              <w:jc w:val="center"/>
              <w:rPr>
                <w:lang w:val="en-US"/>
              </w:rPr>
            </w:pPr>
            <w:r w:rsidRPr="005C6B16">
              <w:rPr>
                <w:sz w:val="16"/>
                <w:szCs w:val="16"/>
              </w:rPr>
              <w:t>NALUNAQ</w:t>
            </w:r>
          </w:p>
        </w:tc>
        <w:tc>
          <w:tcPr>
            <w:tcW w:w="2340" w:type="dxa"/>
          </w:tcPr>
          <w:p w14:paraId="213B289B" w14:textId="77777777" w:rsidR="009633AC" w:rsidRDefault="009633AC" w:rsidP="00E25A87">
            <w:pPr>
              <w:pStyle w:val="TblTxt-Basic"/>
              <w:jc w:val="center"/>
              <w:rPr>
                <w:lang w:val="en-US"/>
              </w:rPr>
            </w:pPr>
            <w:r w:rsidRPr="005C6B16">
              <w:rPr>
                <w:sz w:val="16"/>
                <w:szCs w:val="16"/>
              </w:rPr>
              <w:t>MIN 2003-05</w:t>
            </w:r>
          </w:p>
        </w:tc>
      </w:tr>
      <w:tr w:rsidR="009633AC" w14:paraId="09EB4467" w14:textId="77777777" w:rsidTr="00E25A87">
        <w:tc>
          <w:tcPr>
            <w:tcW w:w="2520" w:type="dxa"/>
          </w:tcPr>
          <w:p w14:paraId="697A2504" w14:textId="77777777" w:rsidR="009633AC" w:rsidRDefault="009633AC" w:rsidP="00E25A87">
            <w:pPr>
              <w:pStyle w:val="TblTxt-Basic"/>
              <w:jc w:val="center"/>
              <w:rPr>
                <w:lang w:val="en-US"/>
              </w:rPr>
            </w:pPr>
            <w:r w:rsidRPr="005C6B16">
              <w:rPr>
                <w:sz w:val="16"/>
                <w:szCs w:val="16"/>
              </w:rPr>
              <w:t>VAGAR</w:t>
            </w:r>
          </w:p>
        </w:tc>
        <w:tc>
          <w:tcPr>
            <w:tcW w:w="2340" w:type="dxa"/>
          </w:tcPr>
          <w:p w14:paraId="0DEAF5FB" w14:textId="77777777" w:rsidR="009633AC" w:rsidRDefault="009633AC" w:rsidP="00E25A87">
            <w:pPr>
              <w:pStyle w:val="TblTxt-Basic"/>
              <w:jc w:val="center"/>
              <w:rPr>
                <w:lang w:val="en-US"/>
              </w:rPr>
            </w:pPr>
            <w:r w:rsidRPr="005C6B16">
              <w:rPr>
                <w:sz w:val="16"/>
                <w:szCs w:val="16"/>
              </w:rPr>
              <w:t>MEL 2006-10</w:t>
            </w:r>
          </w:p>
        </w:tc>
      </w:tr>
      <w:tr w:rsidR="009633AC" w14:paraId="52196803" w14:textId="77777777" w:rsidTr="00E25A87">
        <w:tc>
          <w:tcPr>
            <w:tcW w:w="2520" w:type="dxa"/>
          </w:tcPr>
          <w:p w14:paraId="21ABC8F6" w14:textId="77777777" w:rsidR="009633AC" w:rsidRDefault="009633AC" w:rsidP="00E25A87">
            <w:pPr>
              <w:pStyle w:val="TblTxt-Basic"/>
              <w:jc w:val="center"/>
              <w:rPr>
                <w:lang w:val="en-US"/>
              </w:rPr>
            </w:pPr>
            <w:r w:rsidRPr="005C6B16">
              <w:rPr>
                <w:sz w:val="16"/>
                <w:szCs w:val="16"/>
              </w:rPr>
              <w:t>TARTOQ</w:t>
            </w:r>
          </w:p>
        </w:tc>
        <w:tc>
          <w:tcPr>
            <w:tcW w:w="2340" w:type="dxa"/>
          </w:tcPr>
          <w:p w14:paraId="564938EB" w14:textId="77777777" w:rsidR="009633AC" w:rsidRDefault="009633AC" w:rsidP="00E25A87">
            <w:pPr>
              <w:pStyle w:val="TblTxt-Basic"/>
              <w:jc w:val="center"/>
              <w:rPr>
                <w:lang w:val="en-US"/>
              </w:rPr>
            </w:pPr>
            <w:r w:rsidRPr="005C6B16">
              <w:rPr>
                <w:sz w:val="16"/>
                <w:szCs w:val="16"/>
              </w:rPr>
              <w:t>MEL 2015-17</w:t>
            </w:r>
          </w:p>
        </w:tc>
      </w:tr>
      <w:tr w:rsidR="009633AC" w14:paraId="559B7669" w14:textId="77777777" w:rsidTr="00E25A87">
        <w:tc>
          <w:tcPr>
            <w:tcW w:w="2520" w:type="dxa"/>
          </w:tcPr>
          <w:p w14:paraId="33B8105C" w14:textId="77777777" w:rsidR="009633AC" w:rsidRDefault="009633AC" w:rsidP="00E25A87">
            <w:pPr>
              <w:pStyle w:val="TblTxt-Basic"/>
              <w:jc w:val="center"/>
              <w:rPr>
                <w:lang w:val="en-US"/>
              </w:rPr>
            </w:pPr>
            <w:r w:rsidRPr="005C6B16">
              <w:rPr>
                <w:sz w:val="16"/>
                <w:szCs w:val="16"/>
              </w:rPr>
              <w:t>NANOQ (NUNA NUTAAQ)</w:t>
            </w:r>
          </w:p>
        </w:tc>
        <w:tc>
          <w:tcPr>
            <w:tcW w:w="2340" w:type="dxa"/>
          </w:tcPr>
          <w:p w14:paraId="37586806" w14:textId="77777777" w:rsidR="009633AC" w:rsidRDefault="009633AC" w:rsidP="00E25A87">
            <w:pPr>
              <w:pStyle w:val="TblTxt-Basic"/>
              <w:jc w:val="center"/>
              <w:rPr>
                <w:lang w:val="en-US"/>
              </w:rPr>
            </w:pPr>
            <w:r w:rsidRPr="005C6B16">
              <w:rPr>
                <w:sz w:val="16"/>
                <w:szCs w:val="16"/>
              </w:rPr>
              <w:t>MEL 2019-113</w:t>
            </w:r>
          </w:p>
        </w:tc>
      </w:tr>
      <w:tr w:rsidR="009633AC" w14:paraId="558C2C0C" w14:textId="77777777" w:rsidTr="00E25A87">
        <w:tc>
          <w:tcPr>
            <w:tcW w:w="2520" w:type="dxa"/>
          </w:tcPr>
          <w:p w14:paraId="481A77E1" w14:textId="77777777" w:rsidR="009633AC" w:rsidRDefault="009633AC" w:rsidP="00E25A87">
            <w:pPr>
              <w:pStyle w:val="TblTxt-Basic"/>
              <w:jc w:val="center"/>
              <w:rPr>
                <w:lang w:val="en-US"/>
              </w:rPr>
            </w:pPr>
            <w:r w:rsidRPr="005C6B16">
              <w:rPr>
                <w:sz w:val="16"/>
                <w:szCs w:val="16"/>
              </w:rPr>
              <w:t>ANORITOOQ</w:t>
            </w:r>
          </w:p>
        </w:tc>
        <w:tc>
          <w:tcPr>
            <w:tcW w:w="2340" w:type="dxa"/>
          </w:tcPr>
          <w:p w14:paraId="3A75D57F" w14:textId="77777777" w:rsidR="009633AC" w:rsidRDefault="009633AC" w:rsidP="00E25A87">
            <w:pPr>
              <w:pStyle w:val="TblTxt-Basic"/>
              <w:jc w:val="center"/>
              <w:rPr>
                <w:lang w:val="en-US"/>
              </w:rPr>
            </w:pPr>
            <w:r w:rsidRPr="005C6B16">
              <w:rPr>
                <w:sz w:val="16"/>
                <w:szCs w:val="16"/>
              </w:rPr>
              <w:t>MEL 2020-36</w:t>
            </w:r>
          </w:p>
        </w:tc>
      </w:tr>
      <w:tr w:rsidR="009633AC" w14:paraId="1113FC84" w14:textId="77777777" w:rsidTr="00E25A87">
        <w:tc>
          <w:tcPr>
            <w:tcW w:w="2520" w:type="dxa"/>
          </w:tcPr>
          <w:p w14:paraId="7D82AA10" w14:textId="77777777" w:rsidR="009633AC" w:rsidRDefault="009633AC" w:rsidP="00E25A87">
            <w:pPr>
              <w:pStyle w:val="TblTxt-Basic"/>
              <w:jc w:val="center"/>
              <w:rPr>
                <w:lang w:val="en-US"/>
              </w:rPr>
            </w:pPr>
            <w:r w:rsidRPr="005C6B16">
              <w:rPr>
                <w:sz w:val="16"/>
                <w:szCs w:val="16"/>
              </w:rPr>
              <w:t>SIKU</w:t>
            </w:r>
          </w:p>
        </w:tc>
        <w:tc>
          <w:tcPr>
            <w:tcW w:w="2340" w:type="dxa"/>
          </w:tcPr>
          <w:p w14:paraId="18C3229F" w14:textId="77777777" w:rsidR="009633AC" w:rsidRDefault="009633AC" w:rsidP="00E25A87">
            <w:pPr>
              <w:pStyle w:val="TblTxt-Basic"/>
              <w:jc w:val="center"/>
              <w:rPr>
                <w:lang w:val="en-US"/>
              </w:rPr>
            </w:pPr>
            <w:r w:rsidRPr="005C6B16">
              <w:rPr>
                <w:sz w:val="16"/>
                <w:szCs w:val="16"/>
              </w:rPr>
              <w:t>MEL 2022-08</w:t>
            </w:r>
          </w:p>
        </w:tc>
      </w:tr>
      <w:tr w:rsidR="009633AC" w14:paraId="65515399" w14:textId="77777777" w:rsidTr="00E25A87">
        <w:tc>
          <w:tcPr>
            <w:tcW w:w="2520" w:type="dxa"/>
          </w:tcPr>
          <w:p w14:paraId="46CB03C2" w14:textId="77777777" w:rsidR="009633AC" w:rsidRDefault="009633AC" w:rsidP="00E25A87">
            <w:pPr>
              <w:pStyle w:val="TblTxt-Basic"/>
              <w:jc w:val="center"/>
              <w:rPr>
                <w:lang w:val="en-US"/>
              </w:rPr>
            </w:pPr>
            <w:r w:rsidRPr="005C6B16">
              <w:rPr>
                <w:sz w:val="16"/>
                <w:szCs w:val="16"/>
              </w:rPr>
              <w:t>SAARLOQ</w:t>
            </w:r>
          </w:p>
        </w:tc>
        <w:tc>
          <w:tcPr>
            <w:tcW w:w="2340" w:type="dxa"/>
          </w:tcPr>
          <w:p w14:paraId="755BFEF8" w14:textId="77777777" w:rsidR="009633AC" w:rsidRDefault="009633AC" w:rsidP="00E25A87">
            <w:pPr>
              <w:pStyle w:val="TblTxt-Basic"/>
              <w:jc w:val="center"/>
              <w:rPr>
                <w:lang w:val="en-US"/>
              </w:rPr>
            </w:pPr>
            <w:r w:rsidRPr="005C6B16">
              <w:rPr>
                <w:sz w:val="16"/>
                <w:szCs w:val="16"/>
              </w:rPr>
              <w:t>MEL 2020-31</w:t>
            </w:r>
          </w:p>
        </w:tc>
      </w:tr>
      <w:tr w:rsidR="009633AC" w14:paraId="1FF7CF94" w14:textId="77777777" w:rsidTr="00E25A87">
        <w:tc>
          <w:tcPr>
            <w:tcW w:w="2520" w:type="dxa"/>
          </w:tcPr>
          <w:p w14:paraId="7C00F6CF" w14:textId="77777777" w:rsidR="009633AC" w:rsidRDefault="009633AC" w:rsidP="00E25A87">
            <w:pPr>
              <w:pStyle w:val="TblTxt-Basic"/>
              <w:jc w:val="center"/>
              <w:rPr>
                <w:lang w:val="en-US"/>
              </w:rPr>
            </w:pPr>
            <w:r w:rsidRPr="005C6B16">
              <w:rPr>
                <w:sz w:val="16"/>
                <w:szCs w:val="16"/>
              </w:rPr>
              <w:t>NORTH SAVA</w:t>
            </w:r>
          </w:p>
        </w:tc>
        <w:tc>
          <w:tcPr>
            <w:tcW w:w="2340" w:type="dxa"/>
          </w:tcPr>
          <w:p w14:paraId="4C09686C" w14:textId="77777777" w:rsidR="009633AC" w:rsidRDefault="009633AC" w:rsidP="00E25A87">
            <w:pPr>
              <w:pStyle w:val="TblTxt-Basic"/>
              <w:jc w:val="center"/>
              <w:rPr>
                <w:lang w:val="en-US"/>
              </w:rPr>
            </w:pPr>
            <w:r w:rsidRPr="005C6B16">
              <w:rPr>
                <w:sz w:val="16"/>
                <w:szCs w:val="16"/>
              </w:rPr>
              <w:t>MEL 2020-41</w:t>
            </w:r>
          </w:p>
        </w:tc>
      </w:tr>
      <w:tr w:rsidR="009633AC" w14:paraId="060DE4EC" w14:textId="77777777" w:rsidTr="00E25A87">
        <w:tc>
          <w:tcPr>
            <w:tcW w:w="2520" w:type="dxa"/>
          </w:tcPr>
          <w:p w14:paraId="00E31A2A" w14:textId="77777777" w:rsidR="009633AC" w:rsidRDefault="009633AC" w:rsidP="00E25A87">
            <w:pPr>
              <w:pStyle w:val="TblTxt-Basic"/>
              <w:jc w:val="center"/>
              <w:rPr>
                <w:lang w:val="en-US"/>
              </w:rPr>
            </w:pPr>
            <w:r w:rsidRPr="005C6B16">
              <w:rPr>
                <w:sz w:val="16"/>
                <w:szCs w:val="16"/>
              </w:rPr>
              <w:t>SAVA (KANGERLUARSUK)</w:t>
            </w:r>
          </w:p>
        </w:tc>
        <w:tc>
          <w:tcPr>
            <w:tcW w:w="2340" w:type="dxa"/>
          </w:tcPr>
          <w:p w14:paraId="236F75FB" w14:textId="77777777" w:rsidR="009633AC" w:rsidRDefault="009633AC" w:rsidP="00E25A87">
            <w:pPr>
              <w:pStyle w:val="TblTxt-Basic"/>
              <w:jc w:val="center"/>
              <w:rPr>
                <w:lang w:val="en-US"/>
              </w:rPr>
            </w:pPr>
            <w:r w:rsidRPr="005C6B16">
              <w:rPr>
                <w:sz w:val="16"/>
                <w:szCs w:val="16"/>
              </w:rPr>
              <w:t>MEL 2021-02</w:t>
            </w:r>
          </w:p>
        </w:tc>
      </w:tr>
      <w:tr w:rsidR="009633AC" w14:paraId="695E5E30" w14:textId="77777777" w:rsidTr="00E25A87">
        <w:tc>
          <w:tcPr>
            <w:tcW w:w="2520" w:type="dxa"/>
          </w:tcPr>
          <w:p w14:paraId="5E13DC54" w14:textId="77777777" w:rsidR="009633AC" w:rsidRDefault="009633AC" w:rsidP="00E25A87">
            <w:pPr>
              <w:pStyle w:val="TblTxt-Basic"/>
              <w:jc w:val="center"/>
              <w:rPr>
                <w:lang w:val="en-US"/>
              </w:rPr>
            </w:pPr>
            <w:r w:rsidRPr="005C6B16">
              <w:rPr>
                <w:sz w:val="16"/>
                <w:szCs w:val="16"/>
              </w:rPr>
              <w:t>STENDALEN</w:t>
            </w:r>
          </w:p>
        </w:tc>
        <w:tc>
          <w:tcPr>
            <w:tcW w:w="2340" w:type="dxa"/>
          </w:tcPr>
          <w:p w14:paraId="3AF8799D" w14:textId="77777777" w:rsidR="009633AC" w:rsidRDefault="009633AC" w:rsidP="00E25A87">
            <w:pPr>
              <w:pStyle w:val="TblTxt-Basic"/>
              <w:jc w:val="center"/>
              <w:rPr>
                <w:lang w:val="en-US"/>
              </w:rPr>
            </w:pPr>
            <w:r w:rsidRPr="005C6B16">
              <w:rPr>
                <w:sz w:val="16"/>
                <w:szCs w:val="16"/>
              </w:rPr>
              <w:t>MEL 2021-11</w:t>
            </w:r>
          </w:p>
        </w:tc>
      </w:tr>
      <w:tr w:rsidR="009633AC" w14:paraId="4DD2AF7B" w14:textId="77777777" w:rsidTr="00E25A87">
        <w:tc>
          <w:tcPr>
            <w:tcW w:w="2520" w:type="dxa"/>
          </w:tcPr>
          <w:p w14:paraId="645055B1" w14:textId="77777777" w:rsidR="009633AC" w:rsidRDefault="009633AC" w:rsidP="00E25A87">
            <w:pPr>
              <w:pStyle w:val="TblTxt-Basic"/>
              <w:jc w:val="center"/>
              <w:rPr>
                <w:lang w:val="en-US"/>
              </w:rPr>
            </w:pPr>
            <w:r w:rsidRPr="005C6B16">
              <w:rPr>
                <w:sz w:val="16"/>
                <w:szCs w:val="16"/>
              </w:rPr>
              <w:t>KOBBERMINEBURGT</w:t>
            </w:r>
          </w:p>
        </w:tc>
        <w:tc>
          <w:tcPr>
            <w:tcW w:w="2340" w:type="dxa"/>
          </w:tcPr>
          <w:p w14:paraId="78F4439C" w14:textId="77777777" w:rsidR="009633AC" w:rsidRDefault="009633AC" w:rsidP="00E25A87">
            <w:pPr>
              <w:pStyle w:val="TblTxt-Basic"/>
              <w:jc w:val="center"/>
              <w:rPr>
                <w:lang w:val="en-US"/>
              </w:rPr>
            </w:pPr>
            <w:r w:rsidRPr="005C6B16">
              <w:rPr>
                <w:sz w:val="16"/>
                <w:szCs w:val="16"/>
              </w:rPr>
              <w:t>MEL 2022-01</w:t>
            </w:r>
          </w:p>
        </w:tc>
      </w:tr>
      <w:tr w:rsidR="009633AC" w14:paraId="05752629" w14:textId="77777777" w:rsidTr="00E25A87">
        <w:tc>
          <w:tcPr>
            <w:tcW w:w="2520" w:type="dxa"/>
          </w:tcPr>
          <w:p w14:paraId="26A2EC9C" w14:textId="77777777" w:rsidR="009633AC" w:rsidRDefault="009633AC" w:rsidP="00E25A87">
            <w:pPr>
              <w:pStyle w:val="TblTxt-Basic"/>
              <w:jc w:val="center"/>
              <w:rPr>
                <w:lang w:val="en-US"/>
              </w:rPr>
            </w:pPr>
            <w:r w:rsidRPr="005C6B16">
              <w:rPr>
                <w:sz w:val="16"/>
                <w:szCs w:val="16"/>
              </w:rPr>
              <w:t>PAATASOQ WEST</w:t>
            </w:r>
          </w:p>
        </w:tc>
        <w:tc>
          <w:tcPr>
            <w:tcW w:w="2340" w:type="dxa"/>
          </w:tcPr>
          <w:p w14:paraId="535BD7DD" w14:textId="77777777" w:rsidR="009633AC" w:rsidRDefault="009633AC" w:rsidP="00E25A87">
            <w:pPr>
              <w:pStyle w:val="TblTxt-Basic"/>
              <w:jc w:val="center"/>
              <w:rPr>
                <w:lang w:val="en-US"/>
              </w:rPr>
            </w:pPr>
            <w:r w:rsidRPr="005C6B16">
              <w:rPr>
                <w:sz w:val="16"/>
                <w:szCs w:val="16"/>
              </w:rPr>
              <w:t>MEL 2023-69</w:t>
            </w:r>
          </w:p>
        </w:tc>
      </w:tr>
      <w:tr w:rsidR="009633AC" w14:paraId="717F2ECD" w14:textId="77777777" w:rsidTr="00E25A87">
        <w:tc>
          <w:tcPr>
            <w:tcW w:w="2520" w:type="dxa"/>
          </w:tcPr>
          <w:p w14:paraId="7A45A372" w14:textId="77777777" w:rsidR="009633AC" w:rsidRDefault="009633AC" w:rsidP="00E25A87">
            <w:pPr>
              <w:pStyle w:val="TblTxt-Basic"/>
              <w:jc w:val="center"/>
              <w:rPr>
                <w:lang w:val="en-US"/>
              </w:rPr>
            </w:pPr>
            <w:r w:rsidRPr="005C6B16">
              <w:rPr>
                <w:sz w:val="16"/>
                <w:szCs w:val="16"/>
              </w:rPr>
              <w:t>NUNARSUIT</w:t>
            </w:r>
          </w:p>
        </w:tc>
        <w:tc>
          <w:tcPr>
            <w:tcW w:w="2340" w:type="dxa"/>
          </w:tcPr>
          <w:p w14:paraId="5C9C413A" w14:textId="77777777" w:rsidR="009633AC" w:rsidRDefault="009633AC" w:rsidP="00E25A87">
            <w:pPr>
              <w:pStyle w:val="TblTxt-Basic"/>
              <w:jc w:val="center"/>
              <w:rPr>
                <w:lang w:val="en-US"/>
              </w:rPr>
            </w:pPr>
            <w:r w:rsidRPr="005C6B16">
              <w:rPr>
                <w:sz w:val="16"/>
                <w:szCs w:val="16"/>
              </w:rPr>
              <w:t>MEL 2023-70</w:t>
            </w:r>
          </w:p>
        </w:tc>
      </w:tr>
    </w:tbl>
    <w:p w14:paraId="37335B6B" w14:textId="77777777" w:rsidR="009633AC" w:rsidRDefault="009633AC" w:rsidP="009633AC">
      <w:pPr>
        <w:rPr>
          <w:lang w:val="en-US" w:eastAsia="fr-FR"/>
        </w:rPr>
      </w:pPr>
      <w:bookmarkStart w:id="73" w:name="_Toc42803793"/>
      <w:bookmarkStart w:id="74" w:name="_Toc57649490"/>
    </w:p>
    <w:p w14:paraId="4846F5E8" w14:textId="77777777" w:rsidR="009633AC" w:rsidRPr="00F90730" w:rsidRDefault="009633AC" w:rsidP="009633AC">
      <w:pPr>
        <w:pStyle w:val="BodyText-LI"/>
        <w:rPr>
          <w:lang w:val="en-US" w:eastAsia="fr-FR"/>
        </w:rPr>
      </w:pPr>
      <w:r w:rsidRPr="00F90730">
        <w:rPr>
          <w:lang w:val="en-US" w:eastAsia="fr-FR"/>
        </w:rPr>
        <w:lastRenderedPageBreak/>
        <w:t xml:space="preserve">Figure </w:t>
      </w:r>
      <w:r>
        <w:rPr>
          <w:lang w:val="en-US" w:eastAsia="fr-FR"/>
        </w:rPr>
        <w:t>4</w:t>
      </w:r>
      <w:r w:rsidRPr="00F90730">
        <w:rPr>
          <w:lang w:val="en-US" w:eastAsia="fr-FR"/>
        </w:rPr>
        <w:t>: Location of Properties in Greenland</w:t>
      </w:r>
    </w:p>
    <w:p w14:paraId="65549D8B" w14:textId="77777777" w:rsidR="009633AC" w:rsidRDefault="009633AC" w:rsidP="009633AC">
      <w:pPr>
        <w:jc w:val="center"/>
        <w:rPr>
          <w:lang w:val="en-US" w:eastAsia="fr-FR"/>
        </w:rPr>
      </w:pPr>
      <w:r>
        <w:rPr>
          <w:noProof/>
          <w:lang w:val="en-US" w:eastAsia="fr-FR"/>
        </w:rPr>
        <w:drawing>
          <wp:inline distT="0" distB="0" distL="0" distR="0" wp14:anchorId="5E6A9254" wp14:editId="397C8A2B">
            <wp:extent cx="5950853" cy="3859480"/>
            <wp:effectExtent l="0" t="0" r="0" b="8255"/>
            <wp:docPr id="1224994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94475" name="Picture 1" descr="A map of the arctic&#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87383" cy="3883172"/>
                    </a:xfrm>
                    <a:prstGeom prst="rect">
                      <a:avLst/>
                    </a:prstGeom>
                    <a:noFill/>
                  </pic:spPr>
                </pic:pic>
              </a:graphicData>
            </a:graphic>
          </wp:inline>
        </w:drawing>
      </w:r>
    </w:p>
    <w:p w14:paraId="7A2CDCA5" w14:textId="77777777" w:rsidR="009633AC" w:rsidRPr="00A52F2C" w:rsidRDefault="009633AC" w:rsidP="009633AC">
      <w:pPr>
        <w:pStyle w:val="ProspectusL2"/>
        <w:rPr>
          <w:rFonts w:eastAsiaTheme="minorHAnsi"/>
        </w:rPr>
      </w:pPr>
      <w:r w:rsidRPr="00A52F2C">
        <w:rPr>
          <w:rFonts w:eastAsiaTheme="minorHAnsi"/>
        </w:rPr>
        <w:t>NALUNAQ PROPERTY</w:t>
      </w:r>
    </w:p>
    <w:p w14:paraId="2619AF83" w14:textId="77777777" w:rsidR="009633AC" w:rsidRPr="00A52F2C" w:rsidRDefault="009633AC" w:rsidP="009633AC">
      <w:pPr>
        <w:pStyle w:val="ProspectusCont1"/>
        <w:rPr>
          <w:rFonts w:eastAsiaTheme="minorHAnsi"/>
        </w:rPr>
      </w:pPr>
      <w:r w:rsidRPr="00A52F2C">
        <w:rPr>
          <w:rFonts w:eastAsiaTheme="minorHAnsi"/>
        </w:rPr>
        <w:t xml:space="preserve">The following is the executive summary contained in the Nalunaq Report. The Nalunaq Report is available on SEDAR+ at </w:t>
      </w:r>
      <w:hyperlink r:id="rId24" w:history="1">
        <w:r w:rsidRPr="00F317CC">
          <w:rPr>
            <w:rStyle w:val="Hyperlink"/>
            <w:rFonts w:eastAsiaTheme="minorHAnsi"/>
            <w:lang w:val="en-GB" w:eastAsia="is-IS"/>
          </w:rPr>
          <w:t>www.sedarplus.ca</w:t>
        </w:r>
      </w:hyperlink>
      <w:r>
        <w:rPr>
          <w:rFonts w:eastAsiaTheme="minorHAnsi"/>
        </w:rPr>
        <w:t xml:space="preserve"> </w:t>
      </w:r>
      <w:r w:rsidRPr="00A52F2C">
        <w:rPr>
          <w:rFonts w:eastAsiaTheme="minorHAnsi"/>
        </w:rPr>
        <w:t xml:space="preserve">and on the Corporation's website at </w:t>
      </w:r>
      <w:hyperlink r:id="rId25" w:history="1">
        <w:r w:rsidRPr="00F317CC">
          <w:rPr>
            <w:rStyle w:val="Hyperlink"/>
            <w:rFonts w:eastAsiaTheme="minorHAnsi"/>
            <w:lang w:val="en-GB" w:eastAsia="is-IS"/>
          </w:rPr>
          <w:t>www.amaroqminerals.com</w:t>
        </w:r>
      </w:hyperlink>
      <w:r w:rsidRPr="00A52F2C">
        <w:rPr>
          <w:rFonts w:eastAsiaTheme="minorHAnsi"/>
        </w:rPr>
        <w:t>. The information included or incorporated by reference herein is based on assumptions, qualifications and procedures described in the Nalunaq Report. For a complete description of assumptions, qualifications and procedures associated with the following information, reference should be made to the full text of the Nalunaq Report.</w:t>
      </w:r>
    </w:p>
    <w:p w14:paraId="426EFAF3" w14:textId="77777777" w:rsidR="009633AC" w:rsidRPr="00A52F2C" w:rsidRDefault="009633AC" w:rsidP="009633AC">
      <w:pPr>
        <w:pStyle w:val="ProspectusL2"/>
        <w:rPr>
          <w:rFonts w:eastAsiaTheme="minorHAnsi"/>
        </w:rPr>
      </w:pPr>
      <w:r w:rsidRPr="00A52F2C">
        <w:rPr>
          <w:rFonts w:eastAsiaTheme="minorHAnsi"/>
        </w:rPr>
        <w:t>Executive Summary</w:t>
      </w:r>
    </w:p>
    <w:p w14:paraId="369E0542" w14:textId="77777777" w:rsidR="009633AC" w:rsidRPr="00A52F2C" w:rsidRDefault="009633AC" w:rsidP="009633AC">
      <w:pPr>
        <w:pStyle w:val="ProspectusL3"/>
        <w:rPr>
          <w:rFonts w:eastAsiaTheme="minorHAnsi"/>
        </w:rPr>
      </w:pPr>
      <w:r w:rsidRPr="00A52F2C">
        <w:rPr>
          <w:rFonts w:eastAsiaTheme="minorHAnsi"/>
        </w:rPr>
        <w:t>Introduction</w:t>
      </w:r>
    </w:p>
    <w:p w14:paraId="673C8BAB" w14:textId="77777777" w:rsidR="009633AC" w:rsidRDefault="009633AC" w:rsidP="009633AC">
      <w:pPr>
        <w:pStyle w:val="ProspectusCont3"/>
        <w:rPr>
          <w:rFonts w:eastAsiaTheme="minorHAnsi"/>
        </w:rPr>
      </w:pPr>
      <w:r w:rsidRPr="00A52F2C">
        <w:rPr>
          <w:rFonts w:eastAsiaTheme="minorHAnsi"/>
        </w:rPr>
        <w:t>SRK Consulting (UK) Limited ("</w:t>
      </w:r>
      <w:r w:rsidRPr="00A52F2C">
        <w:rPr>
          <w:rFonts w:eastAsiaTheme="minorHAnsi"/>
          <w:b/>
          <w:bCs/>
        </w:rPr>
        <w:t>SRK</w:t>
      </w:r>
      <w:r w:rsidRPr="00A52F2C">
        <w:rPr>
          <w:rFonts w:eastAsiaTheme="minorHAnsi"/>
        </w:rPr>
        <w:t>") is an associate company of the international group holding company, SRK Consulting (Global) Limited (the "</w:t>
      </w:r>
      <w:r w:rsidRPr="00A52F2C">
        <w:rPr>
          <w:rFonts w:eastAsiaTheme="minorHAnsi"/>
          <w:b/>
          <w:bCs/>
        </w:rPr>
        <w:t>SRK Group</w:t>
      </w:r>
      <w:r w:rsidRPr="00A52F2C">
        <w:rPr>
          <w:rFonts w:eastAsiaTheme="minorHAnsi"/>
        </w:rPr>
        <w:t>"). SRK has been requested by the Corporation to prepare an updated mineral resource estimate ("</w:t>
      </w:r>
      <w:r w:rsidRPr="00A52F2C">
        <w:rPr>
          <w:rFonts w:eastAsiaTheme="minorHAnsi"/>
          <w:b/>
          <w:bCs/>
        </w:rPr>
        <w:t>MRE</w:t>
      </w:r>
      <w:r w:rsidRPr="00A52F2C">
        <w:rPr>
          <w:rFonts w:eastAsiaTheme="minorHAnsi"/>
        </w:rPr>
        <w:t>") for the Nalunaq gold project (hereinafter also referred to as "</w:t>
      </w:r>
      <w:r w:rsidRPr="00A52F2C">
        <w:rPr>
          <w:rFonts w:eastAsiaTheme="minorHAnsi"/>
          <w:b/>
          <w:bCs/>
        </w:rPr>
        <w:t>Nalunaq</w:t>
      </w:r>
      <w:r w:rsidRPr="00A52F2C">
        <w:rPr>
          <w:rFonts w:eastAsiaTheme="minorHAnsi"/>
        </w:rPr>
        <w:t>", or the "</w:t>
      </w:r>
      <w:r w:rsidRPr="00A52F2C">
        <w:rPr>
          <w:rFonts w:eastAsiaTheme="minorHAnsi"/>
          <w:b/>
          <w:bCs/>
        </w:rPr>
        <w:t>Project</w:t>
      </w:r>
      <w:r w:rsidRPr="00A52F2C">
        <w:rPr>
          <w:rFonts w:eastAsiaTheme="minorHAnsi"/>
        </w:rPr>
        <w:t>"), located in southern Greenland. The Nalunaq Report serves as an independent report prepared by a team of consultants, under the management of Dr Lucy Roberts (MAusIMM (CP)), a Principal Consultant (Resource Geology) and Mr Martin Pittuck, a Corporate Consultant (Resource Geology).</w:t>
      </w:r>
    </w:p>
    <w:p w14:paraId="18C6FF08" w14:textId="77777777" w:rsidR="009633AC" w:rsidRDefault="009633AC" w:rsidP="009633AC">
      <w:pPr>
        <w:pStyle w:val="ProspectusCont3"/>
        <w:rPr>
          <w:rFonts w:eastAsiaTheme="minorHAnsi"/>
          <w:lang w:val="en-GB" w:eastAsia="is-IS"/>
        </w:rPr>
      </w:pPr>
      <w:r w:rsidRPr="00A52F2C">
        <w:rPr>
          <w:rFonts w:eastAsiaTheme="minorHAnsi"/>
          <w:lang w:val="en-GB" w:eastAsia="is-IS"/>
        </w:rPr>
        <w:t>The international reporting code used for the reporting of Mineral Resource and Mineral Reserve statements in the Nalunaq Report is the CIM Definition Standards on Mineral Resources and Reserves prepared by the CIM Standing Committee on Reserve Definitions and adopted by CIM Council on May 10, 2014 (the "</w:t>
      </w:r>
      <w:r w:rsidRPr="00A52F2C">
        <w:rPr>
          <w:rFonts w:eastAsiaTheme="minorHAnsi"/>
          <w:b/>
          <w:bCs/>
          <w:lang w:val="en-GB" w:eastAsia="is-IS"/>
        </w:rPr>
        <w:t>CIM Definition Standards</w:t>
      </w:r>
      <w:r w:rsidRPr="00A52F2C">
        <w:rPr>
          <w:rFonts w:eastAsiaTheme="minorHAnsi"/>
          <w:lang w:val="en-GB" w:eastAsia="is-IS"/>
        </w:rPr>
        <w:t>") which are incorporated by reference into NI 43-101. Furthermore, the mineral resources as reported have also been prepared in accordance with the CIM Estimation of Mineral Resources and Mineral Reserves Best Practice Guidelines prepared by the CIM Mineral Resource and Mineral Reserve Committee and adopted by the CIM Council on 29 November 2019. The Mineral Resource Estimate and accompanying Statement presented in the Nalunaq Report has an effective date of September 3, 2022 and is signed off by Dr Lucy Roberts (MAusIMM (CP)), who acts as the Qualified Person ("</w:t>
      </w:r>
      <w:r w:rsidRPr="00A52F2C">
        <w:rPr>
          <w:rFonts w:eastAsiaTheme="minorHAnsi"/>
          <w:b/>
          <w:bCs/>
          <w:lang w:val="en-GB" w:eastAsia="is-IS"/>
        </w:rPr>
        <w:t>QP</w:t>
      </w:r>
      <w:r w:rsidRPr="00A52F2C">
        <w:rPr>
          <w:rFonts w:eastAsiaTheme="minorHAnsi"/>
          <w:lang w:val="en-GB" w:eastAsia="is-IS"/>
        </w:rPr>
        <w:t>"). The QP visited site between 9 and 17 September 2021.</w:t>
      </w:r>
    </w:p>
    <w:p w14:paraId="25329C91" w14:textId="77777777" w:rsidR="009633AC" w:rsidRPr="00A52F2C" w:rsidRDefault="009633AC" w:rsidP="009633AC">
      <w:pPr>
        <w:pStyle w:val="ProspectusCont3"/>
        <w:rPr>
          <w:rFonts w:eastAsiaTheme="minorHAnsi"/>
          <w:lang w:val="en-GB" w:eastAsia="is-IS"/>
        </w:rPr>
      </w:pPr>
      <w:r w:rsidRPr="00A52F2C">
        <w:rPr>
          <w:rFonts w:eastAsiaTheme="minorHAnsi"/>
          <w:lang w:val="en-GB" w:eastAsia="is-IS"/>
        </w:rPr>
        <w:lastRenderedPageBreak/>
        <w:t>SRK has relied upon the information provided by Amaroq in its review of the data quality used for the Mineral Resource Estimate; however, SRK takes full responsibility for the Mineral Resource Statement presented in the Nalunaq Report.</w:t>
      </w:r>
    </w:p>
    <w:p w14:paraId="21AD252B" w14:textId="77777777" w:rsidR="009633AC" w:rsidRPr="00A52F2C" w:rsidRDefault="009633AC" w:rsidP="009633AC">
      <w:pPr>
        <w:pStyle w:val="ProspectusL3"/>
        <w:rPr>
          <w:rFonts w:eastAsiaTheme="minorHAnsi"/>
        </w:rPr>
      </w:pPr>
      <w:r w:rsidRPr="00A52F2C">
        <w:rPr>
          <w:rFonts w:eastAsiaTheme="minorHAnsi"/>
        </w:rPr>
        <w:t>Property, Access, And History</w:t>
      </w:r>
    </w:p>
    <w:p w14:paraId="0A77A8D5" w14:textId="77777777" w:rsidR="009633AC" w:rsidRDefault="009633AC" w:rsidP="009633AC">
      <w:pPr>
        <w:pStyle w:val="ProspectusCont3"/>
        <w:rPr>
          <w:rFonts w:eastAsiaTheme="minorHAnsi"/>
        </w:rPr>
      </w:pPr>
      <w:r w:rsidRPr="00A52F2C">
        <w:rPr>
          <w:rFonts w:eastAsiaTheme="minorHAnsi"/>
        </w:rPr>
        <w:t>The Nalunaq Project is located in Southern Greenland at 60º21'N latitude and 44º50'W longitude in the Municipality of Kujalleq. The property is located on the northern side of the Kirkespirdalen Valley, about 33 km northeast of the town of Nanortalik. The former mine which forms the focus of the Nalunaq project is located in the centre of Exploitation Licence number 2003/05 which covers an area of 22 km2. The Exploitation Licence grants Nalunaq A/S (a wholly owned Greenlandic subsidiary of Amaroq Minerals) the exclusive right to undertake mineral exploration and exploitation within the licence area.</w:t>
      </w:r>
    </w:p>
    <w:p w14:paraId="2B94AE6D" w14:textId="77777777" w:rsidR="009633AC" w:rsidRDefault="009633AC" w:rsidP="009633AC">
      <w:pPr>
        <w:pStyle w:val="ProspectusCont3"/>
        <w:rPr>
          <w:rFonts w:eastAsiaTheme="minorHAnsi"/>
          <w:lang w:val="en-GB" w:eastAsia="is-IS"/>
        </w:rPr>
      </w:pPr>
      <w:r w:rsidRPr="00A52F2C">
        <w:rPr>
          <w:rFonts w:eastAsiaTheme="minorHAnsi"/>
          <w:lang w:val="en-GB" w:eastAsia="is-IS"/>
        </w:rPr>
        <w:t>The mine site is located 6km inland along the Kirkspirdalen Valley from an embayment on the eastern side of Saqqaa Fjord. The fjord does not generally freeze over during the winter and navigation by boat to the former mine jetty is possible for most of the year. The topography in the area is rugged to alpine. Mountains reach from sea level to elevations of 1,500mASL. Many of them are glaciated and the southern tip of the permanent ice sheet is about 33km to the northeast of the mine. Valley floors and lower mountain sides are covered by typical sub-arctic vegetation. The climate of South Greenland is relatively mild for the latitude. In Nanortalik, the temperature ranges between averages of -5°C in January and 7°C in August.</w:t>
      </w:r>
    </w:p>
    <w:p w14:paraId="01F4442C" w14:textId="77777777" w:rsidR="009633AC" w:rsidRDefault="009633AC" w:rsidP="009633AC">
      <w:pPr>
        <w:pStyle w:val="ProspectusCont3"/>
        <w:rPr>
          <w:rFonts w:eastAsiaTheme="minorHAnsi"/>
          <w:lang w:val="en-GB" w:eastAsia="is-IS"/>
        </w:rPr>
      </w:pPr>
      <w:r w:rsidRPr="00A52F2C">
        <w:rPr>
          <w:rFonts w:eastAsiaTheme="minorHAnsi"/>
          <w:lang w:val="en-GB" w:eastAsia="is-IS"/>
        </w:rPr>
        <w:t>South Greenland is accessed via the international airport at Narsarsuaq with regular flights from Denmark and Iceland as well as regular internal flights from other international airports in Greenland including Kangerlussuaq and Nuuk. From Narsarsuaq, there are regular helicopter flights to other towns in the area, including Nanortalik. Most areas can also be travelled by scheduled or chartered boat from Narsarsuaq or Qaqortoq. This takes around one hour by boat to reach Nalunaq from Nanortalik. From the jetty, the mine can be reached by 4x4 vehicle along the 9 km long former mine road which is unsealed but in reasonable condition. The 4x4 vehicle can be mobili</w:t>
      </w:r>
      <w:r>
        <w:rPr>
          <w:rFonts w:eastAsiaTheme="minorHAnsi"/>
          <w:lang w:val="en-GB" w:eastAsia="is-IS"/>
        </w:rPr>
        <w:t>z</w:t>
      </w:r>
      <w:r w:rsidRPr="00A52F2C">
        <w:rPr>
          <w:rFonts w:eastAsiaTheme="minorHAnsi"/>
          <w:lang w:val="en-GB" w:eastAsia="is-IS"/>
        </w:rPr>
        <w:t>ed to the area by landing craft.</w:t>
      </w:r>
    </w:p>
    <w:p w14:paraId="12E804C8" w14:textId="77777777" w:rsidR="009633AC" w:rsidRPr="00A52F2C" w:rsidRDefault="009633AC" w:rsidP="009633AC">
      <w:pPr>
        <w:pStyle w:val="ProspectusCont3"/>
        <w:rPr>
          <w:rFonts w:eastAsiaTheme="minorHAnsi"/>
          <w:lang w:val="en-GB" w:eastAsia="is-IS"/>
        </w:rPr>
      </w:pPr>
      <w:r w:rsidRPr="00A52F2C">
        <w:rPr>
          <w:rFonts w:eastAsiaTheme="minorHAnsi"/>
          <w:lang w:val="en-GB" w:eastAsia="is-IS"/>
        </w:rPr>
        <w:t>Exploration began in the area in the 1960s, when regional geological mapping was carried out by the Geological Survey of Greenland ("</w:t>
      </w:r>
      <w:r w:rsidRPr="00A52F2C">
        <w:rPr>
          <w:rFonts w:eastAsiaTheme="minorHAnsi"/>
          <w:b/>
          <w:bCs/>
          <w:lang w:val="en-GB" w:eastAsia="is-IS"/>
        </w:rPr>
        <w:t>GGU</w:t>
      </w:r>
      <w:r w:rsidRPr="00A52F2C">
        <w:rPr>
          <w:rFonts w:eastAsiaTheme="minorHAnsi"/>
          <w:lang w:val="en-GB" w:eastAsia="is-IS"/>
        </w:rPr>
        <w:t>", later "</w:t>
      </w:r>
      <w:r w:rsidRPr="00A52F2C">
        <w:rPr>
          <w:rFonts w:eastAsiaTheme="minorHAnsi"/>
          <w:b/>
          <w:bCs/>
          <w:lang w:val="en-GB" w:eastAsia="is-IS"/>
        </w:rPr>
        <w:t>GEUS</w:t>
      </w:r>
      <w:r w:rsidRPr="00A52F2C">
        <w:rPr>
          <w:rFonts w:eastAsiaTheme="minorHAnsi"/>
          <w:lang w:val="en-GB" w:eastAsia="is-IS"/>
        </w:rPr>
        <w:t>"). Visible gold, hosted by quartz veins was discovered at Nalunaq in 1992. Various phases of exploration were completed, including surface sampling, surface drilling, and underground development. Once the mine was in production, a significant amount of underground chip and channel sampling was completed, along with underground drilling. Since the completion of the transfer of the project to Nalunaq A/S in March 2016, additional surface sampling and core drilling has been completed. This continues to the present time.</w:t>
      </w:r>
    </w:p>
    <w:p w14:paraId="6A0C3A5B" w14:textId="77777777" w:rsidR="009633AC" w:rsidRPr="00A52F2C" w:rsidRDefault="009633AC" w:rsidP="009633AC">
      <w:pPr>
        <w:pStyle w:val="ProspectusL3"/>
        <w:rPr>
          <w:rFonts w:eastAsiaTheme="minorHAnsi"/>
        </w:rPr>
      </w:pPr>
      <w:r w:rsidRPr="00A52F2C">
        <w:rPr>
          <w:rFonts w:eastAsiaTheme="minorHAnsi"/>
        </w:rPr>
        <w:t xml:space="preserve">Geology and </w:t>
      </w:r>
      <w:r>
        <w:rPr>
          <w:rFonts w:eastAsiaTheme="minorHAnsi"/>
        </w:rPr>
        <w:t>Mineralization</w:t>
      </w:r>
    </w:p>
    <w:p w14:paraId="7227B3C2" w14:textId="77777777" w:rsidR="009633AC" w:rsidRPr="00A52F2C" w:rsidRDefault="009633AC" w:rsidP="009633AC">
      <w:pPr>
        <w:pStyle w:val="ProspectusCont3"/>
        <w:rPr>
          <w:rFonts w:eastAsiaTheme="minorHAnsi"/>
        </w:rPr>
      </w:pPr>
      <w:r w:rsidRPr="00A52F2C">
        <w:rPr>
          <w:rFonts w:eastAsiaTheme="minorHAnsi"/>
        </w:rPr>
        <w:t>Nalunaq lies within the wider Psammite Zone in Southern Greenland that hosts the Nanortalik Gold Belt. The geology of the Nalunaq Mountain is dominated by a package of fine- to medium-grained tholeiitic basalt flows and locally coarser, sub-concordant doleritic sills. The sequence is intruded by later granites and several generations of late aplite and pegmatite dykes. Due to the lack of primary volcanic textures and a lack of age relations of the rock sequence, the true stratigraphic way up is unknown. The stratigraphy has therefore been assigned into the structural footwall and structural hanging wall with respect to the main gold-minerali</w:t>
      </w:r>
      <w:r>
        <w:rPr>
          <w:rFonts w:eastAsiaTheme="minorHAnsi"/>
        </w:rPr>
        <w:t>z</w:t>
      </w:r>
      <w:r w:rsidRPr="00A52F2C">
        <w:rPr>
          <w:rFonts w:eastAsiaTheme="minorHAnsi"/>
        </w:rPr>
        <w:t>ed quartz vein (Nalunaq Main Vein, "</w:t>
      </w:r>
      <w:r w:rsidRPr="00A52F2C">
        <w:rPr>
          <w:rFonts w:eastAsiaTheme="minorHAnsi"/>
          <w:b/>
          <w:bCs/>
        </w:rPr>
        <w:t>MV</w:t>
      </w:r>
      <w:r w:rsidRPr="00A52F2C">
        <w:rPr>
          <w:rFonts w:eastAsiaTheme="minorHAnsi"/>
        </w:rPr>
        <w:t>").</w:t>
      </w:r>
    </w:p>
    <w:p w14:paraId="78281F98" w14:textId="77777777" w:rsidR="009633AC" w:rsidRPr="00A52F2C" w:rsidRDefault="009633AC" w:rsidP="009633AC">
      <w:pPr>
        <w:pStyle w:val="ProspectusCont3"/>
        <w:rPr>
          <w:rFonts w:eastAsiaTheme="minorHAnsi"/>
        </w:rPr>
      </w:pPr>
      <w:r w:rsidRPr="00A52F2C">
        <w:rPr>
          <w:rFonts w:eastAsiaTheme="minorHAnsi"/>
        </w:rPr>
        <w:t xml:space="preserve">The MV varies in width from 0.05 m to 2.0 m, maintains an average dip of 38° towards the SE, and contains high and sometimes bonanza gold grades (up to 5,240 g/t gold over 0.8 m). The vein also often displays perpendicular quartz-filled tension gashes. Gold occurs mostly as native gold and occasionally as the gold-bismuth alloy, maldonite. Gold </w:t>
      </w:r>
      <w:r>
        <w:rPr>
          <w:rFonts w:eastAsiaTheme="minorHAnsi"/>
        </w:rPr>
        <w:t>mineralization</w:t>
      </w:r>
      <w:r w:rsidRPr="00A52F2C">
        <w:rPr>
          <w:rFonts w:eastAsiaTheme="minorHAnsi"/>
        </w:rPr>
        <w:t xml:space="preserve"> is commonly associated with native bismuth and rare lollingite and arsenopyrite. Native gold particles range in size from a few microns up to eight millimetres across, with coarse visible gold being common in the high-grade sections of the Main Vein.</w:t>
      </w:r>
    </w:p>
    <w:p w14:paraId="36510FD1" w14:textId="77777777" w:rsidR="009633AC" w:rsidRPr="00A52F2C" w:rsidRDefault="009633AC" w:rsidP="009633AC">
      <w:pPr>
        <w:pStyle w:val="ProspectusCont3"/>
        <w:rPr>
          <w:rFonts w:eastAsiaTheme="minorHAnsi"/>
        </w:rPr>
      </w:pPr>
      <w:r w:rsidRPr="00A52F2C">
        <w:rPr>
          <w:rFonts w:eastAsiaTheme="minorHAnsi"/>
        </w:rPr>
        <w:t xml:space="preserve">Amaroq have been developing a new </w:t>
      </w:r>
      <w:r>
        <w:rPr>
          <w:rFonts w:eastAsiaTheme="minorHAnsi"/>
        </w:rPr>
        <w:t>mineralization</w:t>
      </w:r>
      <w:r w:rsidRPr="00A52F2C">
        <w:rPr>
          <w:rFonts w:eastAsiaTheme="minorHAnsi"/>
        </w:rPr>
        <w:t xml:space="preserve"> model which seeks to explain the locations of the observed high-grade plunges in the historical model, namely the Mountain, Target and South Blocks. This Dolerite Dyke model works on the premise that weakly to moderately mineralized fluids were trapped at locations aligned with the pre-</w:t>
      </w:r>
      <w:r w:rsidRPr="00A52F2C">
        <w:rPr>
          <w:rFonts w:eastAsiaTheme="minorHAnsi"/>
        </w:rPr>
        <w:lastRenderedPageBreak/>
        <w:t>minerali</w:t>
      </w:r>
      <w:r>
        <w:rPr>
          <w:rFonts w:eastAsiaTheme="minorHAnsi"/>
        </w:rPr>
        <w:t>z</w:t>
      </w:r>
      <w:r w:rsidRPr="00A52F2C">
        <w:rPr>
          <w:rFonts w:eastAsiaTheme="minorHAnsi"/>
        </w:rPr>
        <w:t>ing and cross cutting dolerite dykes. Rapid pressure release, perhaps related to tectonic activity, causes instant boiling and deposition of significant quantities of gold.</w:t>
      </w:r>
    </w:p>
    <w:p w14:paraId="5ED899AB" w14:textId="77777777" w:rsidR="009633AC" w:rsidRPr="00A52F2C" w:rsidRDefault="009633AC" w:rsidP="009633AC">
      <w:pPr>
        <w:pStyle w:val="ProspectusL3"/>
        <w:rPr>
          <w:rFonts w:eastAsiaTheme="minorHAnsi"/>
        </w:rPr>
      </w:pPr>
      <w:r w:rsidRPr="00A52F2C">
        <w:rPr>
          <w:rFonts w:eastAsiaTheme="minorHAnsi"/>
        </w:rPr>
        <w:t>Drilling and Sampling</w:t>
      </w:r>
    </w:p>
    <w:p w14:paraId="368C1FAC" w14:textId="77777777" w:rsidR="009633AC" w:rsidRPr="00A52F2C" w:rsidRDefault="009633AC" w:rsidP="009633AC">
      <w:pPr>
        <w:pStyle w:val="ProspectusCont3"/>
        <w:rPr>
          <w:rFonts w:eastAsiaTheme="minorHAnsi"/>
        </w:rPr>
      </w:pPr>
      <w:r w:rsidRPr="00A52F2C">
        <w:rPr>
          <w:rFonts w:eastAsiaTheme="minorHAnsi"/>
        </w:rPr>
        <w:t xml:space="preserve">Drilling and sampling at Nalunaq since 2016 has comprised of six separate campaigns aiming to delineate the full down-dip and along-strike extent of </w:t>
      </w:r>
      <w:r>
        <w:rPr>
          <w:rFonts w:eastAsiaTheme="minorHAnsi"/>
        </w:rPr>
        <w:t>mineralization</w:t>
      </w:r>
      <w:r w:rsidRPr="00A52F2C">
        <w:rPr>
          <w:rFonts w:eastAsiaTheme="minorHAnsi"/>
        </w:rPr>
        <w:t>, as well as increase confidence in the geological and grade continuity through infill drilling. Prior to 2016, several phases of drilling and sampling were undertaken by several operators. Drilling conducted during Amaroq's ownership of the Project, including surface sampling and diamond core drilling, has been carried out under the supervision of technically qualified personnel applying standard industry approaches. For all drillholes completed since 2016, when Amaroq took ownership, collar surveys were conducted using a handheld GPS and downhole surveys were completed in each drillhole using a Reflex EZ Trac magnetic survey tool at 15m intervals. In 2022, drillholes were surveyed with an QL40-OBI-2G optical televiewer from Mount Sopris Instruments which captures a high resolution 360° image of the hole and replaces traditional core orientation and magnetic survey tools.</w:t>
      </w:r>
    </w:p>
    <w:p w14:paraId="38A7C833" w14:textId="77777777" w:rsidR="009633AC" w:rsidRPr="00A52F2C" w:rsidRDefault="009633AC" w:rsidP="009633AC">
      <w:pPr>
        <w:pStyle w:val="ProspectusCont3"/>
        <w:rPr>
          <w:rFonts w:eastAsiaTheme="minorHAnsi"/>
        </w:rPr>
      </w:pPr>
      <w:r w:rsidRPr="00A52F2C">
        <w:rPr>
          <w:rFonts w:eastAsiaTheme="minorHAnsi"/>
        </w:rPr>
        <w:t xml:space="preserve">Due to the high relief of the topography, diamond drillholes were collared in areas which were accessible, either by road or by helicopter. Holes are drilled at a range of dips and azimuths to intersect the </w:t>
      </w:r>
      <w:r>
        <w:rPr>
          <w:rFonts w:eastAsiaTheme="minorHAnsi"/>
        </w:rPr>
        <w:t>mineralization</w:t>
      </w:r>
      <w:r w:rsidRPr="00A52F2C">
        <w:rPr>
          <w:rFonts w:eastAsiaTheme="minorHAnsi"/>
        </w:rPr>
        <w:t xml:space="preserve"> appropriately. In addition, a significant amount of underground production data, in the form of chip, channel, or chip channel samples were taken during the operation of the mine. Production samples were taken from either development faces or side walls, and typically cover the full thickness of </w:t>
      </w:r>
      <w:r>
        <w:rPr>
          <w:rFonts w:eastAsiaTheme="minorHAnsi"/>
        </w:rPr>
        <w:t>mineralization</w:t>
      </w:r>
      <w:r w:rsidRPr="00A52F2C">
        <w:rPr>
          <w:rFonts w:eastAsiaTheme="minorHAnsi"/>
        </w:rPr>
        <w:t xml:space="preserve">. Underground drilling was also undertaken while the mine was in operation. </w:t>
      </w:r>
      <w:r>
        <w:rPr>
          <w:rFonts w:eastAsiaTheme="minorHAnsi"/>
        </w:rPr>
        <w:t>Mineralization</w:t>
      </w:r>
      <w:r w:rsidRPr="00A52F2C">
        <w:rPr>
          <w:rFonts w:eastAsiaTheme="minorHAnsi"/>
        </w:rPr>
        <w:t xml:space="preserve"> typically dips at 38° towards the SE, resulting in variable drilling and sampling intersection angles.</w:t>
      </w:r>
    </w:p>
    <w:p w14:paraId="17B827A5" w14:textId="77777777" w:rsidR="009633AC" w:rsidRPr="00A52F2C" w:rsidRDefault="009633AC" w:rsidP="009633AC">
      <w:pPr>
        <w:pStyle w:val="ProspectusCont3"/>
        <w:rPr>
          <w:rFonts w:eastAsiaTheme="minorHAnsi"/>
        </w:rPr>
      </w:pPr>
      <w:r w:rsidRPr="00A52F2C">
        <w:rPr>
          <w:rFonts w:eastAsiaTheme="minorHAnsi"/>
        </w:rPr>
        <w:t>Field duplicates, blank samples and certified reference materials were inserted into the regular sample stream as part of the QAQC programmes during the 2017-2022 drilling campaigns. Overall, SRK considers the majority of sample preparation, analyses and security protocols to conform to industry best practice. SRK notes the absence of QAQC sample results some of the historical drilling and sampling campaigns and as such, assay data from these drilling campaigns present a risk in terms of accuracy and precision of the associated assay grades.</w:t>
      </w:r>
    </w:p>
    <w:p w14:paraId="0ED593A0" w14:textId="77777777" w:rsidR="009633AC" w:rsidRPr="00A52F2C" w:rsidRDefault="009633AC" w:rsidP="009633AC">
      <w:pPr>
        <w:pStyle w:val="ProspectusL3"/>
        <w:rPr>
          <w:rFonts w:eastAsiaTheme="minorHAnsi"/>
        </w:rPr>
      </w:pPr>
      <w:r w:rsidRPr="00A52F2C">
        <w:rPr>
          <w:rFonts w:eastAsiaTheme="minorHAnsi"/>
        </w:rPr>
        <w:t>Mineral Resource Estimate</w:t>
      </w:r>
    </w:p>
    <w:p w14:paraId="328D1AD2" w14:textId="77777777" w:rsidR="009633AC" w:rsidRDefault="009633AC" w:rsidP="009633AC">
      <w:pPr>
        <w:pStyle w:val="ProspectusCont3"/>
        <w:rPr>
          <w:rFonts w:eastAsiaTheme="minorHAnsi"/>
        </w:rPr>
      </w:pPr>
      <w:r w:rsidRPr="00A52F2C">
        <w:rPr>
          <w:rFonts w:eastAsiaTheme="minorHAnsi"/>
        </w:rPr>
        <w:t>All geological wireframe models of the Nalunaq project and used in this estimate were produced by Amaroq and reviewed by SRK. As part of this review, SRK provided feedback and recommendations to Amaroq geologists, and the models subsequently updated. Geological wireframes have been prepared for the MV and pegmatite dyke which occupies the Pegmatite Fault only. To better represent the distribution of very high-grade areas within the Main Vein, further sub-domains were developed by SRK prior to estimation. Modelling of these sub-domains was based on a primarily visual review of data including composite sample gold grades and the spacing of samples. This process sought to constrain the ultra-high grades (&gt;100 g/t Au) seen in the historical mining areas to prevent undue influence of these samples on the surrounding lower grade material, as well as to better represent the high-grade zones.</w:t>
      </w:r>
    </w:p>
    <w:p w14:paraId="6A4ABEE1" w14:textId="77777777" w:rsidR="009633AC" w:rsidRPr="00A52F2C" w:rsidRDefault="009633AC" w:rsidP="009633AC">
      <w:pPr>
        <w:pStyle w:val="ProspectusCont3"/>
        <w:rPr>
          <w:rFonts w:eastAsiaTheme="minorHAnsi"/>
          <w:lang w:val="en-GB" w:eastAsia="is-IS"/>
        </w:rPr>
      </w:pPr>
      <w:r w:rsidRPr="00A52F2C">
        <w:rPr>
          <w:rFonts w:eastAsiaTheme="minorHAnsi"/>
          <w:lang w:val="en-GB" w:eastAsia="is-IS"/>
        </w:rPr>
        <w:t>SRK carried out the following steps to produce the MRE:</w:t>
      </w:r>
    </w:p>
    <w:p w14:paraId="5089C0B6" w14:textId="77777777" w:rsidR="009633AC" w:rsidRPr="00A52F2C" w:rsidRDefault="009633AC" w:rsidP="009633AC">
      <w:pPr>
        <w:pStyle w:val="ProspectusL8"/>
        <w:rPr>
          <w:rFonts w:eastAsiaTheme="minorHAnsi"/>
        </w:rPr>
      </w:pPr>
      <w:r w:rsidRPr="00A52F2C">
        <w:rPr>
          <w:rFonts w:eastAsiaTheme="minorHAnsi"/>
        </w:rPr>
        <w:t>database compilation and review;</w:t>
      </w:r>
    </w:p>
    <w:p w14:paraId="4FB2F370" w14:textId="77777777" w:rsidR="009633AC" w:rsidRPr="00A52F2C" w:rsidRDefault="009633AC" w:rsidP="009633AC">
      <w:pPr>
        <w:pStyle w:val="ProspectusL8"/>
        <w:rPr>
          <w:rFonts w:eastAsiaTheme="minorHAnsi"/>
        </w:rPr>
      </w:pPr>
      <w:r w:rsidRPr="00A52F2C">
        <w:rPr>
          <w:rFonts w:eastAsiaTheme="minorHAnsi"/>
        </w:rPr>
        <w:t>construction of wireframe geological models in Leapfrog Geo 2021.1 software;</w:t>
      </w:r>
    </w:p>
    <w:p w14:paraId="1F31EA0E" w14:textId="77777777" w:rsidR="009633AC" w:rsidRPr="00A52F2C" w:rsidRDefault="009633AC" w:rsidP="009633AC">
      <w:pPr>
        <w:pStyle w:val="ProspectusL8"/>
        <w:rPr>
          <w:rFonts w:eastAsiaTheme="minorHAnsi"/>
        </w:rPr>
      </w:pPr>
      <w:r w:rsidRPr="00A52F2C">
        <w:rPr>
          <w:rFonts w:eastAsiaTheme="minorHAnsi"/>
        </w:rPr>
        <w:t>statistical analysis and definition of domains;</w:t>
      </w:r>
    </w:p>
    <w:p w14:paraId="58ECD0CF" w14:textId="77777777" w:rsidR="009633AC" w:rsidRPr="00A52F2C" w:rsidRDefault="009633AC" w:rsidP="009633AC">
      <w:pPr>
        <w:pStyle w:val="ProspectusL8"/>
        <w:rPr>
          <w:rFonts w:eastAsiaTheme="minorHAnsi"/>
        </w:rPr>
      </w:pPr>
      <w:r w:rsidRPr="00A52F2C">
        <w:rPr>
          <w:rFonts w:eastAsiaTheme="minorHAnsi"/>
        </w:rPr>
        <w:t>geostatistical analysis (variography) within estimation domains;</w:t>
      </w:r>
    </w:p>
    <w:p w14:paraId="1013781C" w14:textId="77777777" w:rsidR="009633AC" w:rsidRPr="00A52F2C" w:rsidRDefault="009633AC" w:rsidP="009633AC">
      <w:pPr>
        <w:pStyle w:val="ProspectusL8"/>
        <w:rPr>
          <w:rFonts w:eastAsiaTheme="minorHAnsi"/>
        </w:rPr>
      </w:pPr>
      <w:r w:rsidRPr="00A52F2C">
        <w:rPr>
          <w:rFonts w:eastAsiaTheme="minorHAnsi"/>
        </w:rPr>
        <w:t>block modelling and grade interpolation using Leapfrog Edge software;</w:t>
      </w:r>
    </w:p>
    <w:p w14:paraId="55F374A8" w14:textId="77777777" w:rsidR="009633AC" w:rsidRPr="00A52F2C" w:rsidRDefault="009633AC" w:rsidP="009633AC">
      <w:pPr>
        <w:pStyle w:val="ProspectusL8"/>
        <w:rPr>
          <w:rFonts w:eastAsiaTheme="minorHAnsi"/>
        </w:rPr>
      </w:pPr>
      <w:r w:rsidRPr="00A52F2C">
        <w:rPr>
          <w:rFonts w:eastAsiaTheme="minorHAnsi"/>
        </w:rPr>
        <w:t>model validation;</w:t>
      </w:r>
    </w:p>
    <w:p w14:paraId="77CF2A7E" w14:textId="77777777" w:rsidR="009633AC" w:rsidRPr="00A52F2C" w:rsidRDefault="009633AC" w:rsidP="009633AC">
      <w:pPr>
        <w:pStyle w:val="ProspectusL8"/>
        <w:rPr>
          <w:rFonts w:eastAsiaTheme="minorHAnsi"/>
        </w:rPr>
      </w:pPr>
      <w:r w:rsidRPr="00A52F2C">
        <w:rPr>
          <w:rFonts w:eastAsiaTheme="minorHAnsi"/>
        </w:rPr>
        <w:t>Mineral resource classification;</w:t>
      </w:r>
    </w:p>
    <w:p w14:paraId="619E1F54" w14:textId="77777777" w:rsidR="009633AC" w:rsidRPr="00A52F2C" w:rsidRDefault="009633AC" w:rsidP="009633AC">
      <w:pPr>
        <w:pStyle w:val="ProspectusL8"/>
        <w:rPr>
          <w:rFonts w:eastAsiaTheme="minorHAnsi"/>
        </w:rPr>
      </w:pPr>
      <w:r w:rsidRPr="00A52F2C">
        <w:rPr>
          <w:rFonts w:eastAsiaTheme="minorHAnsi"/>
        </w:rPr>
        <w:lastRenderedPageBreak/>
        <w:t>consideration of reasonable prospects for eventual economic extraction; and</w:t>
      </w:r>
    </w:p>
    <w:p w14:paraId="0A24C797" w14:textId="77777777" w:rsidR="009633AC" w:rsidRPr="00A52F2C" w:rsidRDefault="009633AC" w:rsidP="009633AC">
      <w:pPr>
        <w:pStyle w:val="ProspectusL8"/>
        <w:rPr>
          <w:rFonts w:eastAsiaTheme="minorHAnsi"/>
        </w:rPr>
      </w:pPr>
      <w:r w:rsidRPr="00A52F2C">
        <w:rPr>
          <w:rFonts w:eastAsiaTheme="minorHAnsi"/>
        </w:rPr>
        <w:t>reporting of the Mineral Resource Statement.</w:t>
      </w:r>
    </w:p>
    <w:p w14:paraId="400998D0" w14:textId="77777777" w:rsidR="009633AC" w:rsidRPr="00A52F2C" w:rsidRDefault="009633AC" w:rsidP="009633AC">
      <w:pPr>
        <w:pStyle w:val="ProspectusCont3"/>
        <w:rPr>
          <w:rFonts w:eastAsiaTheme="minorHAnsi"/>
        </w:rPr>
      </w:pPr>
      <w:r w:rsidRPr="00A52F2C">
        <w:rPr>
          <w:rFonts w:eastAsiaTheme="minorHAnsi"/>
        </w:rPr>
        <w:t>The SRK 2022 Mineral Resource Statement for the Nalunaq deposit is presented in Table ES 1. The Qualified Person for the declaration of Mineral Resources is Dr Lucy Roberts, MAusIMM (CP), of SRK Consulting (UK) Ltd. The Mineral Resource estimates and accompanying Statements were produced and reviewed by a team of consultants from SRK.</w:t>
      </w:r>
    </w:p>
    <w:p w14:paraId="4B383CCD" w14:textId="77777777" w:rsidR="009633AC" w:rsidRPr="00A52F2C" w:rsidRDefault="009633AC" w:rsidP="009633AC">
      <w:pPr>
        <w:pStyle w:val="BodyText-LI"/>
        <w:rPr>
          <w:rFonts w:eastAsiaTheme="minorHAnsi"/>
          <w:lang w:val="en-GB" w:eastAsia="is-IS"/>
        </w:rPr>
      </w:pPr>
      <w:r w:rsidRPr="00A52F2C">
        <w:rPr>
          <w:rFonts w:eastAsiaTheme="minorHAnsi"/>
          <w:lang w:val="en-GB" w:eastAsia="is-IS"/>
        </w:rPr>
        <w:t>Table ES 1: SRK Mineral Resource Statements for Nalunaq gold deposit, Greenland, as of 03 September 2022</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2541"/>
        <w:gridCol w:w="1646"/>
        <w:gridCol w:w="1647"/>
        <w:gridCol w:w="1647"/>
      </w:tblGrid>
      <w:tr w:rsidR="009633AC" w14:paraId="42B71E76" w14:textId="77777777" w:rsidTr="00E25A87">
        <w:tc>
          <w:tcPr>
            <w:tcW w:w="1869" w:type="dxa"/>
            <w:vAlign w:val="bottom"/>
          </w:tcPr>
          <w:p w14:paraId="47816B20" w14:textId="77777777" w:rsidR="009633AC" w:rsidRPr="00FF0CF5" w:rsidRDefault="009633AC" w:rsidP="00E25A87">
            <w:pPr>
              <w:pStyle w:val="TblTxt-Basic"/>
              <w:pBdr>
                <w:bottom w:val="single" w:sz="4" w:space="1" w:color="auto"/>
              </w:pBdr>
              <w:jc w:val="center"/>
              <w:rPr>
                <w:b/>
                <w:bCs w:val="0"/>
              </w:rPr>
            </w:pPr>
            <w:r w:rsidRPr="00FF0CF5">
              <w:rPr>
                <w:b/>
                <w:bCs w:val="0"/>
              </w:rPr>
              <w:t>Zone</w:t>
            </w:r>
          </w:p>
        </w:tc>
        <w:tc>
          <w:tcPr>
            <w:tcW w:w="2541" w:type="dxa"/>
            <w:vAlign w:val="bottom"/>
          </w:tcPr>
          <w:p w14:paraId="4AF77E9F" w14:textId="77777777" w:rsidR="009633AC" w:rsidRPr="00FF0CF5" w:rsidRDefault="009633AC" w:rsidP="00E25A87">
            <w:pPr>
              <w:pStyle w:val="TblTxt-Basic"/>
              <w:pBdr>
                <w:bottom w:val="single" w:sz="4" w:space="1" w:color="auto"/>
              </w:pBdr>
              <w:jc w:val="center"/>
              <w:rPr>
                <w:b/>
                <w:bCs w:val="0"/>
              </w:rPr>
            </w:pPr>
            <w:r w:rsidRPr="00FF0CF5">
              <w:rPr>
                <w:b/>
                <w:bCs w:val="0"/>
              </w:rPr>
              <w:t>Classification</w:t>
            </w:r>
          </w:p>
        </w:tc>
        <w:tc>
          <w:tcPr>
            <w:tcW w:w="1646" w:type="dxa"/>
            <w:vAlign w:val="bottom"/>
          </w:tcPr>
          <w:p w14:paraId="13C164FE" w14:textId="77777777" w:rsidR="009633AC" w:rsidRPr="00FF0CF5" w:rsidRDefault="009633AC" w:rsidP="00E25A87">
            <w:pPr>
              <w:pStyle w:val="TblTxt-Basic"/>
              <w:jc w:val="center"/>
              <w:rPr>
                <w:b/>
                <w:bCs w:val="0"/>
              </w:rPr>
            </w:pPr>
            <w:r w:rsidRPr="00FF0CF5">
              <w:rPr>
                <w:b/>
                <w:bCs w:val="0"/>
              </w:rPr>
              <w:t>Tonnes</w:t>
            </w:r>
          </w:p>
          <w:p w14:paraId="7D4C25D5" w14:textId="77777777" w:rsidR="009633AC" w:rsidRPr="00FF0CF5" w:rsidRDefault="009633AC" w:rsidP="00E25A87">
            <w:pPr>
              <w:pStyle w:val="TblTxt-Basic"/>
              <w:pBdr>
                <w:bottom w:val="single" w:sz="4" w:space="1" w:color="auto"/>
              </w:pBdr>
              <w:jc w:val="center"/>
              <w:rPr>
                <w:rFonts w:eastAsiaTheme="minorHAnsi"/>
                <w:b/>
                <w:bCs w:val="0"/>
                <w:lang w:val="en-GB" w:eastAsia="is-IS"/>
              </w:rPr>
            </w:pPr>
            <w:r w:rsidRPr="00FF0CF5">
              <w:rPr>
                <w:rFonts w:eastAsiaTheme="minorHAnsi"/>
                <w:b/>
                <w:bCs w:val="0"/>
                <w:lang w:val="en-GB" w:eastAsia="is-IS"/>
              </w:rPr>
              <w:t>(t)</w:t>
            </w:r>
          </w:p>
        </w:tc>
        <w:tc>
          <w:tcPr>
            <w:tcW w:w="1647" w:type="dxa"/>
            <w:vAlign w:val="bottom"/>
          </w:tcPr>
          <w:p w14:paraId="6D545A1B" w14:textId="77777777" w:rsidR="009633AC" w:rsidRPr="00FF0CF5" w:rsidRDefault="009633AC" w:rsidP="00E25A87">
            <w:pPr>
              <w:pStyle w:val="TblTxt-Basic"/>
              <w:jc w:val="center"/>
              <w:rPr>
                <w:b/>
                <w:bCs w:val="0"/>
              </w:rPr>
            </w:pPr>
            <w:r w:rsidRPr="00FF0CF5">
              <w:rPr>
                <w:b/>
                <w:bCs w:val="0"/>
              </w:rPr>
              <w:t>Grade</w:t>
            </w:r>
          </w:p>
          <w:p w14:paraId="5811B638" w14:textId="77777777" w:rsidR="009633AC" w:rsidRPr="00FF0CF5" w:rsidRDefault="009633AC" w:rsidP="00E25A87">
            <w:pPr>
              <w:pStyle w:val="TblTxt-Basic"/>
              <w:pBdr>
                <w:bottom w:val="single" w:sz="4" w:space="1" w:color="auto"/>
              </w:pBdr>
              <w:jc w:val="center"/>
              <w:rPr>
                <w:rFonts w:eastAsiaTheme="minorHAnsi"/>
                <w:b/>
                <w:bCs w:val="0"/>
                <w:lang w:val="en-GB" w:eastAsia="is-IS"/>
              </w:rPr>
            </w:pPr>
            <w:r w:rsidRPr="00FF0CF5">
              <w:rPr>
                <w:rFonts w:eastAsiaTheme="minorHAnsi"/>
                <w:b/>
                <w:bCs w:val="0"/>
                <w:lang w:val="en-GB" w:eastAsia="is-IS"/>
              </w:rPr>
              <w:t>(g/t Au)</w:t>
            </w:r>
          </w:p>
        </w:tc>
        <w:tc>
          <w:tcPr>
            <w:tcW w:w="1647" w:type="dxa"/>
            <w:vAlign w:val="bottom"/>
          </w:tcPr>
          <w:p w14:paraId="3A88584A" w14:textId="77777777" w:rsidR="009633AC" w:rsidRPr="00FF0CF5" w:rsidRDefault="009633AC" w:rsidP="00E25A87">
            <w:pPr>
              <w:pStyle w:val="TblTxt-Basic"/>
              <w:jc w:val="center"/>
              <w:rPr>
                <w:b/>
                <w:bCs w:val="0"/>
              </w:rPr>
            </w:pPr>
            <w:r w:rsidRPr="00FF0CF5">
              <w:rPr>
                <w:b/>
                <w:bCs w:val="0"/>
              </w:rPr>
              <w:t>Contained</w:t>
            </w:r>
          </w:p>
          <w:p w14:paraId="1BAFCF79" w14:textId="77777777" w:rsidR="009633AC" w:rsidRPr="00FF0CF5" w:rsidRDefault="009633AC" w:rsidP="00E25A87">
            <w:pPr>
              <w:pStyle w:val="TblTxt-Basic"/>
              <w:pBdr>
                <w:bottom w:val="single" w:sz="4" w:space="1" w:color="auto"/>
              </w:pBdr>
              <w:jc w:val="center"/>
              <w:rPr>
                <w:rFonts w:eastAsiaTheme="minorHAnsi"/>
                <w:b/>
                <w:bCs w:val="0"/>
                <w:lang w:val="en-GB" w:eastAsia="is-IS"/>
              </w:rPr>
            </w:pPr>
            <w:r w:rsidRPr="00FF0CF5">
              <w:rPr>
                <w:rFonts w:eastAsiaTheme="minorHAnsi"/>
                <w:b/>
                <w:bCs w:val="0"/>
                <w:lang w:val="en-GB" w:eastAsia="is-IS"/>
              </w:rPr>
              <w:t>(Oz Au)</w:t>
            </w:r>
          </w:p>
        </w:tc>
      </w:tr>
      <w:tr w:rsidR="009633AC" w14:paraId="72998C46" w14:textId="77777777" w:rsidTr="00E25A87">
        <w:tc>
          <w:tcPr>
            <w:tcW w:w="1869" w:type="dxa"/>
          </w:tcPr>
          <w:p w14:paraId="061875FA" w14:textId="77777777" w:rsidR="009633AC" w:rsidRPr="00A52F2C" w:rsidRDefault="009633AC" w:rsidP="00E25A87">
            <w:pPr>
              <w:pStyle w:val="TblTxt-Basic"/>
              <w:rPr>
                <w:rFonts w:eastAsiaTheme="minorHAnsi"/>
                <w:lang w:val="en-GB" w:eastAsia="is-IS"/>
              </w:rPr>
            </w:pPr>
            <w:r>
              <w:t xml:space="preserve">In Mine </w:t>
            </w:r>
          </w:p>
        </w:tc>
        <w:tc>
          <w:tcPr>
            <w:tcW w:w="2541" w:type="dxa"/>
          </w:tcPr>
          <w:p w14:paraId="7372BAE1" w14:textId="77777777" w:rsidR="009633AC" w:rsidRPr="00A52F2C" w:rsidRDefault="009633AC" w:rsidP="00E25A87">
            <w:pPr>
              <w:pStyle w:val="TblTxt-Basic"/>
              <w:rPr>
                <w:rFonts w:eastAsiaTheme="minorHAnsi"/>
                <w:lang w:val="en-GB" w:eastAsia="is-IS"/>
              </w:rPr>
            </w:pPr>
            <w:r>
              <w:t xml:space="preserve">Inferred Mineral Resource </w:t>
            </w:r>
          </w:p>
        </w:tc>
        <w:tc>
          <w:tcPr>
            <w:tcW w:w="1646" w:type="dxa"/>
          </w:tcPr>
          <w:p w14:paraId="13783962" w14:textId="77777777" w:rsidR="009633AC" w:rsidRPr="00A52F2C" w:rsidRDefault="009633AC" w:rsidP="00E25A87">
            <w:pPr>
              <w:pStyle w:val="TblTxt-Basic"/>
              <w:jc w:val="center"/>
              <w:rPr>
                <w:rFonts w:eastAsiaTheme="minorHAnsi"/>
                <w:lang w:val="en-GB" w:eastAsia="is-IS"/>
              </w:rPr>
            </w:pPr>
            <w:r>
              <w:t>140,000</w:t>
            </w:r>
          </w:p>
        </w:tc>
        <w:tc>
          <w:tcPr>
            <w:tcW w:w="1647" w:type="dxa"/>
          </w:tcPr>
          <w:p w14:paraId="063E30F5" w14:textId="77777777" w:rsidR="009633AC" w:rsidRPr="00A52F2C" w:rsidRDefault="009633AC" w:rsidP="00E25A87">
            <w:pPr>
              <w:pStyle w:val="TblTxt-Basic"/>
              <w:jc w:val="center"/>
              <w:rPr>
                <w:rFonts w:eastAsiaTheme="minorHAnsi"/>
                <w:lang w:val="en-GB" w:eastAsia="is-IS"/>
              </w:rPr>
            </w:pPr>
            <w:r>
              <w:t>31.0</w:t>
            </w:r>
          </w:p>
        </w:tc>
        <w:tc>
          <w:tcPr>
            <w:tcW w:w="1647" w:type="dxa"/>
          </w:tcPr>
          <w:p w14:paraId="1AE8DE01" w14:textId="77777777" w:rsidR="009633AC" w:rsidRPr="00A52F2C" w:rsidRDefault="009633AC" w:rsidP="00E25A87">
            <w:pPr>
              <w:pStyle w:val="TblTxt-Basic"/>
              <w:jc w:val="center"/>
              <w:rPr>
                <w:rFonts w:eastAsiaTheme="minorHAnsi"/>
                <w:lang w:val="en-GB" w:eastAsia="is-IS"/>
              </w:rPr>
            </w:pPr>
            <w:r>
              <w:t>140,000</w:t>
            </w:r>
          </w:p>
        </w:tc>
      </w:tr>
      <w:tr w:rsidR="009633AC" w14:paraId="22D6CDE2" w14:textId="77777777" w:rsidTr="00E25A87">
        <w:tc>
          <w:tcPr>
            <w:tcW w:w="1869" w:type="dxa"/>
          </w:tcPr>
          <w:p w14:paraId="07A75750" w14:textId="77777777" w:rsidR="009633AC" w:rsidRPr="00A52F2C" w:rsidRDefault="009633AC" w:rsidP="00E25A87">
            <w:pPr>
              <w:pStyle w:val="TblTxt-Basic"/>
              <w:rPr>
                <w:rFonts w:eastAsiaTheme="minorHAnsi"/>
                <w:lang w:val="en-GB" w:eastAsia="is-IS"/>
              </w:rPr>
            </w:pPr>
            <w:r>
              <w:t xml:space="preserve">Extension Area </w:t>
            </w:r>
          </w:p>
        </w:tc>
        <w:tc>
          <w:tcPr>
            <w:tcW w:w="2541" w:type="dxa"/>
          </w:tcPr>
          <w:p w14:paraId="39CD5189" w14:textId="77777777" w:rsidR="009633AC" w:rsidRPr="00A52F2C" w:rsidRDefault="009633AC" w:rsidP="00E25A87">
            <w:pPr>
              <w:pStyle w:val="TblTxt-Basic"/>
              <w:rPr>
                <w:rFonts w:eastAsiaTheme="minorHAnsi"/>
                <w:lang w:val="en-GB" w:eastAsia="is-IS"/>
              </w:rPr>
            </w:pPr>
            <w:r>
              <w:t xml:space="preserve">Inferred Mineral Resource </w:t>
            </w:r>
          </w:p>
        </w:tc>
        <w:tc>
          <w:tcPr>
            <w:tcW w:w="1646" w:type="dxa"/>
          </w:tcPr>
          <w:p w14:paraId="14BDB476" w14:textId="77777777" w:rsidR="009633AC" w:rsidRPr="00A52F2C" w:rsidRDefault="009633AC" w:rsidP="00E25A87">
            <w:pPr>
              <w:pStyle w:val="TblTxt-Basic"/>
              <w:pBdr>
                <w:bottom w:val="single" w:sz="4" w:space="1" w:color="auto"/>
              </w:pBdr>
              <w:jc w:val="center"/>
              <w:rPr>
                <w:rFonts w:eastAsiaTheme="minorHAnsi"/>
                <w:lang w:val="en-GB" w:eastAsia="is-IS"/>
              </w:rPr>
            </w:pPr>
            <w:r>
              <w:t>215,000</w:t>
            </w:r>
          </w:p>
        </w:tc>
        <w:tc>
          <w:tcPr>
            <w:tcW w:w="1647" w:type="dxa"/>
          </w:tcPr>
          <w:p w14:paraId="4CC0D57A" w14:textId="77777777" w:rsidR="009633AC" w:rsidRPr="00A52F2C" w:rsidRDefault="009633AC" w:rsidP="00E25A87">
            <w:pPr>
              <w:pStyle w:val="TblTxt-Basic"/>
              <w:pBdr>
                <w:bottom w:val="single" w:sz="4" w:space="1" w:color="auto"/>
              </w:pBdr>
              <w:jc w:val="center"/>
              <w:rPr>
                <w:rFonts w:eastAsiaTheme="minorHAnsi"/>
                <w:lang w:val="en-GB" w:eastAsia="is-IS"/>
              </w:rPr>
            </w:pPr>
            <w:r>
              <w:t>26.0</w:t>
            </w:r>
          </w:p>
        </w:tc>
        <w:tc>
          <w:tcPr>
            <w:tcW w:w="1647" w:type="dxa"/>
          </w:tcPr>
          <w:p w14:paraId="1CCA9585" w14:textId="77777777" w:rsidR="009633AC" w:rsidRPr="00A52F2C" w:rsidRDefault="009633AC" w:rsidP="00E25A87">
            <w:pPr>
              <w:pStyle w:val="TblTxt-Basic"/>
              <w:pBdr>
                <w:bottom w:val="single" w:sz="4" w:space="1" w:color="auto"/>
              </w:pBdr>
              <w:jc w:val="center"/>
              <w:rPr>
                <w:rFonts w:eastAsiaTheme="minorHAnsi"/>
                <w:lang w:val="en-GB" w:eastAsia="is-IS"/>
              </w:rPr>
            </w:pPr>
            <w:r>
              <w:t>180,000</w:t>
            </w:r>
          </w:p>
        </w:tc>
      </w:tr>
      <w:tr w:rsidR="009633AC" w14:paraId="308714EE" w14:textId="77777777" w:rsidTr="00E25A87">
        <w:tc>
          <w:tcPr>
            <w:tcW w:w="1869" w:type="dxa"/>
          </w:tcPr>
          <w:p w14:paraId="25A52448" w14:textId="77777777" w:rsidR="009633AC" w:rsidRPr="00A52F2C" w:rsidRDefault="009633AC" w:rsidP="00E25A87">
            <w:pPr>
              <w:pStyle w:val="TblTxt-Basic"/>
              <w:rPr>
                <w:rFonts w:eastAsiaTheme="minorHAnsi"/>
                <w:lang w:val="en-GB" w:eastAsia="is-IS"/>
              </w:rPr>
            </w:pPr>
            <w:r>
              <w:rPr>
                <w:b/>
              </w:rPr>
              <w:t xml:space="preserve">Total </w:t>
            </w:r>
          </w:p>
        </w:tc>
        <w:tc>
          <w:tcPr>
            <w:tcW w:w="2541" w:type="dxa"/>
          </w:tcPr>
          <w:p w14:paraId="4B6D9514" w14:textId="77777777" w:rsidR="009633AC" w:rsidRPr="00A52F2C" w:rsidRDefault="009633AC" w:rsidP="00E25A87">
            <w:pPr>
              <w:pStyle w:val="TblTxt-Basic"/>
              <w:rPr>
                <w:rFonts w:eastAsiaTheme="minorHAnsi"/>
                <w:lang w:val="en-GB" w:eastAsia="is-IS"/>
              </w:rPr>
            </w:pPr>
            <w:r>
              <w:rPr>
                <w:b/>
              </w:rPr>
              <w:t xml:space="preserve">Inferred Mineral Resource </w:t>
            </w:r>
          </w:p>
        </w:tc>
        <w:tc>
          <w:tcPr>
            <w:tcW w:w="1646" w:type="dxa"/>
          </w:tcPr>
          <w:p w14:paraId="45FCFF93" w14:textId="77777777" w:rsidR="009633AC" w:rsidRPr="00A52F2C" w:rsidRDefault="009633AC" w:rsidP="00E25A87">
            <w:pPr>
              <w:pStyle w:val="TblTxt-Basic"/>
              <w:pBdr>
                <w:bottom w:val="double" w:sz="4" w:space="1" w:color="auto"/>
              </w:pBdr>
              <w:jc w:val="center"/>
              <w:rPr>
                <w:rFonts w:eastAsiaTheme="minorHAnsi"/>
                <w:lang w:val="en-GB" w:eastAsia="is-IS"/>
              </w:rPr>
            </w:pPr>
            <w:r>
              <w:rPr>
                <w:b/>
              </w:rPr>
              <w:t>355,000</w:t>
            </w:r>
          </w:p>
        </w:tc>
        <w:tc>
          <w:tcPr>
            <w:tcW w:w="1647" w:type="dxa"/>
          </w:tcPr>
          <w:p w14:paraId="15E5860B" w14:textId="77777777" w:rsidR="009633AC" w:rsidRPr="00A52F2C" w:rsidRDefault="009633AC" w:rsidP="00E25A87">
            <w:pPr>
              <w:pStyle w:val="TblTxt-Basic"/>
              <w:pBdr>
                <w:bottom w:val="double" w:sz="4" w:space="1" w:color="auto"/>
              </w:pBdr>
              <w:jc w:val="center"/>
              <w:rPr>
                <w:rFonts w:eastAsiaTheme="minorHAnsi"/>
                <w:lang w:val="en-GB" w:eastAsia="is-IS"/>
              </w:rPr>
            </w:pPr>
            <w:r>
              <w:rPr>
                <w:b/>
              </w:rPr>
              <w:t>28.0</w:t>
            </w:r>
          </w:p>
        </w:tc>
        <w:tc>
          <w:tcPr>
            <w:tcW w:w="1647" w:type="dxa"/>
          </w:tcPr>
          <w:p w14:paraId="21540D18" w14:textId="77777777" w:rsidR="009633AC" w:rsidRPr="00A52F2C" w:rsidRDefault="009633AC" w:rsidP="00E25A87">
            <w:pPr>
              <w:pStyle w:val="TblTxt-Basic"/>
              <w:pBdr>
                <w:bottom w:val="double" w:sz="4" w:space="1" w:color="auto"/>
              </w:pBdr>
              <w:jc w:val="center"/>
              <w:rPr>
                <w:rFonts w:eastAsiaTheme="minorHAnsi"/>
                <w:lang w:val="en-GB" w:eastAsia="is-IS"/>
              </w:rPr>
            </w:pPr>
            <w:r>
              <w:rPr>
                <w:b/>
              </w:rPr>
              <w:t>320,000</w:t>
            </w:r>
          </w:p>
        </w:tc>
      </w:tr>
    </w:tbl>
    <w:p w14:paraId="493AC5AD" w14:textId="77777777" w:rsidR="009633AC" w:rsidRPr="00A52F2C" w:rsidRDefault="009633AC" w:rsidP="009633AC">
      <w:pPr>
        <w:pStyle w:val="ProspectusCont3"/>
        <w:spacing w:before="240"/>
        <w:rPr>
          <w:rFonts w:eastAsiaTheme="minorHAnsi"/>
        </w:rPr>
      </w:pPr>
      <w:r w:rsidRPr="00A52F2C">
        <w:rPr>
          <w:rFonts w:eastAsiaTheme="minorHAnsi"/>
        </w:rPr>
        <w:t>In reporting the Mineral Resource Statements, SRK notes the following:</w:t>
      </w:r>
    </w:p>
    <w:p w14:paraId="6EBE682B" w14:textId="77777777" w:rsidR="009633AC" w:rsidRPr="00A52F2C" w:rsidRDefault="009633AC" w:rsidP="009633AC">
      <w:pPr>
        <w:pStyle w:val="ProspectusL8"/>
        <w:rPr>
          <w:rFonts w:eastAsiaTheme="minorHAnsi"/>
        </w:rPr>
      </w:pPr>
      <w:r w:rsidRPr="00A52F2C">
        <w:rPr>
          <w:rFonts w:eastAsiaTheme="minorHAnsi"/>
        </w:rPr>
        <w:t>Mineral Resources are reported in accordance with the CIM Definition Standards</w:t>
      </w:r>
    </w:p>
    <w:p w14:paraId="19AF3029" w14:textId="77777777" w:rsidR="009633AC" w:rsidRPr="00A52F2C" w:rsidRDefault="009633AC" w:rsidP="009633AC">
      <w:pPr>
        <w:pStyle w:val="ProspectusL8"/>
        <w:rPr>
          <w:rFonts w:eastAsiaTheme="minorHAnsi"/>
        </w:rPr>
      </w:pPr>
      <w:r w:rsidRPr="00A52F2C">
        <w:rPr>
          <w:rFonts w:eastAsiaTheme="minorHAnsi"/>
        </w:rPr>
        <w:t>Mineral Resources have an effective date of September 3, 2022, and have been depleted to reflect the current understanding of the mining completed up to the date of production ceasing in 2013;</w:t>
      </w:r>
    </w:p>
    <w:p w14:paraId="70D75628" w14:textId="77777777" w:rsidR="009633AC" w:rsidRPr="00A52F2C" w:rsidRDefault="009633AC" w:rsidP="009633AC">
      <w:pPr>
        <w:pStyle w:val="ProspectusL8"/>
        <w:rPr>
          <w:rFonts w:eastAsiaTheme="minorHAnsi"/>
        </w:rPr>
      </w:pPr>
      <w:r w:rsidRPr="00A52F2C">
        <w:rPr>
          <w:rFonts w:eastAsiaTheme="minorHAnsi"/>
        </w:rPr>
        <w:t>Mineral Resources are reported as in-situ and undiluted. The Mineral Resources are reported above a cut-off grade of 5.0 g/t, generated using a gold price of 1,800 USD/ozAu.</w:t>
      </w:r>
    </w:p>
    <w:p w14:paraId="10111E64" w14:textId="77777777" w:rsidR="009633AC" w:rsidRPr="00A52F2C" w:rsidRDefault="009633AC" w:rsidP="009633AC">
      <w:pPr>
        <w:pStyle w:val="ProspectusL8"/>
        <w:rPr>
          <w:rFonts w:eastAsiaTheme="minorHAnsi"/>
        </w:rPr>
      </w:pPr>
      <w:r w:rsidRPr="00A52F2C">
        <w:rPr>
          <w:rFonts w:eastAsiaTheme="minorHAnsi"/>
        </w:rPr>
        <w:t>Given these parameters, SRK considers there to be reasonable prospects for eventual economic extraction, and as such, fulfil the requirements for reporting a mineral resource;</w:t>
      </w:r>
    </w:p>
    <w:p w14:paraId="7BC79E7E" w14:textId="77777777" w:rsidR="009633AC" w:rsidRPr="00A52F2C" w:rsidRDefault="009633AC" w:rsidP="009633AC">
      <w:pPr>
        <w:pStyle w:val="ProspectusL8"/>
        <w:rPr>
          <w:rFonts w:eastAsiaTheme="minorHAnsi"/>
        </w:rPr>
      </w:pPr>
      <w:r w:rsidRPr="00A52F2C">
        <w:rPr>
          <w:rFonts w:eastAsiaTheme="minorHAnsi"/>
        </w:rPr>
        <w:t>The In-Mine Mineral Resource is accessible from existing underground development while the Extension Mineral Resource requires development to be put in place for it to be accessed</w:t>
      </w:r>
    </w:p>
    <w:p w14:paraId="34184282" w14:textId="77777777" w:rsidR="009633AC" w:rsidRPr="00A52F2C" w:rsidRDefault="009633AC" w:rsidP="009633AC">
      <w:pPr>
        <w:pStyle w:val="ProspectusL8"/>
        <w:rPr>
          <w:rFonts w:eastAsiaTheme="minorHAnsi"/>
        </w:rPr>
      </w:pPr>
      <w:r w:rsidRPr="00A52F2C">
        <w:rPr>
          <w:rFonts w:eastAsiaTheme="minorHAnsi"/>
        </w:rPr>
        <w:t>Mineral Resources are not mineral reserves and do not have demonstrated economic viability, nor have any mining modifying factors been applied;</w:t>
      </w:r>
    </w:p>
    <w:p w14:paraId="21BC3D16" w14:textId="77777777" w:rsidR="009633AC" w:rsidRPr="00A52F2C" w:rsidRDefault="009633AC" w:rsidP="009633AC">
      <w:pPr>
        <w:pStyle w:val="ProspectusL8"/>
        <w:rPr>
          <w:rFonts w:eastAsiaTheme="minorHAnsi"/>
        </w:rPr>
      </w:pPr>
      <w:r w:rsidRPr="00A52F2C">
        <w:rPr>
          <w:rFonts w:eastAsiaTheme="minorHAnsi"/>
        </w:rPr>
        <w:t>The Qualified Person for the declaration of Mineral Resources is Dr Lucy Roberts, MAusIMM(CP), of SRK Consulting (UK) Ltd. The Mineral Resource estimates and accompanying Statements were produced and reviewed by a team of consultants from SRK.</w:t>
      </w:r>
    </w:p>
    <w:p w14:paraId="4D802FE3" w14:textId="77777777" w:rsidR="009633AC" w:rsidRPr="00A52F2C" w:rsidRDefault="009633AC" w:rsidP="009633AC">
      <w:pPr>
        <w:pStyle w:val="ProspectusL8"/>
        <w:rPr>
          <w:rFonts w:eastAsiaTheme="minorHAnsi"/>
        </w:rPr>
      </w:pPr>
      <w:r w:rsidRPr="00A52F2C">
        <w:rPr>
          <w:rFonts w:eastAsiaTheme="minorHAnsi"/>
        </w:rPr>
        <w:t>SRK notes that a site visit to Nalunaq was conducted by the CP in September 2021;</w:t>
      </w:r>
    </w:p>
    <w:p w14:paraId="49B9E876" w14:textId="77777777" w:rsidR="009633AC" w:rsidRPr="00A52F2C" w:rsidRDefault="009633AC" w:rsidP="009633AC">
      <w:pPr>
        <w:pStyle w:val="ProspectusL8"/>
        <w:rPr>
          <w:rFonts w:eastAsiaTheme="minorHAnsi"/>
        </w:rPr>
      </w:pPr>
      <w:r w:rsidRPr="00A52F2C">
        <w:rPr>
          <w:rFonts w:eastAsiaTheme="minorHAnsi"/>
        </w:rPr>
        <w:t>All Mineral Resources are quoted at 100%;</w:t>
      </w:r>
    </w:p>
    <w:p w14:paraId="7C17DE44" w14:textId="77777777" w:rsidR="009633AC" w:rsidRPr="00A52F2C" w:rsidRDefault="009633AC" w:rsidP="009633AC">
      <w:pPr>
        <w:pStyle w:val="ProspectusL8"/>
        <w:rPr>
          <w:rFonts w:eastAsiaTheme="minorHAnsi"/>
        </w:rPr>
      </w:pPr>
      <w:r w:rsidRPr="00A52F2C">
        <w:rPr>
          <w:rFonts w:eastAsiaTheme="minorHAnsi"/>
        </w:rPr>
        <w:t>Tonnages are reported in metric units, with metal grades in grams per tonne (g/t). Tonnages and grades are rounded appropriately. Rounding, as required by reporting guidelines, may result in apparent summation differences between tonnes, grade and contained metal content. Where these occur, SRK does not consider these to be material.</w:t>
      </w:r>
    </w:p>
    <w:p w14:paraId="3AB6CA05" w14:textId="77777777" w:rsidR="009633AC" w:rsidRPr="00A52F2C" w:rsidRDefault="009633AC" w:rsidP="009633AC">
      <w:pPr>
        <w:pStyle w:val="ProspectusL2"/>
        <w:rPr>
          <w:rFonts w:eastAsiaTheme="minorHAnsi"/>
        </w:rPr>
      </w:pPr>
      <w:r>
        <w:rPr>
          <w:rFonts w:eastAsiaTheme="minorHAnsi"/>
        </w:rPr>
        <w:lastRenderedPageBreak/>
        <w:t>OTHER PROPERTIES</w:t>
      </w:r>
    </w:p>
    <w:p w14:paraId="1170EA46" w14:textId="77777777" w:rsidR="009633AC" w:rsidRPr="00A52F2C" w:rsidRDefault="009633AC" w:rsidP="009633AC">
      <w:pPr>
        <w:pStyle w:val="ProspectusL2"/>
        <w:rPr>
          <w:rFonts w:eastAsiaTheme="minorHAnsi"/>
        </w:rPr>
      </w:pPr>
      <w:r w:rsidRPr="00A52F2C">
        <w:rPr>
          <w:rFonts w:eastAsiaTheme="minorHAnsi"/>
        </w:rPr>
        <w:t>Tartoq</w:t>
      </w:r>
    </w:p>
    <w:p w14:paraId="33D84BB5" w14:textId="77777777" w:rsidR="009633AC" w:rsidRPr="00A52F2C" w:rsidRDefault="009633AC" w:rsidP="009633AC">
      <w:pPr>
        <w:pStyle w:val="ProspectusL3"/>
        <w:rPr>
          <w:rFonts w:eastAsiaTheme="minorHAnsi"/>
        </w:rPr>
      </w:pPr>
      <w:r w:rsidRPr="00A52F2C">
        <w:rPr>
          <w:rFonts w:eastAsiaTheme="minorHAnsi"/>
        </w:rPr>
        <w:t>Property Description</w:t>
      </w:r>
    </w:p>
    <w:p w14:paraId="0BDD3526" w14:textId="77777777" w:rsidR="009633AC" w:rsidRDefault="009633AC" w:rsidP="009633AC">
      <w:pPr>
        <w:pStyle w:val="ProspectusCont2"/>
        <w:rPr>
          <w:rFonts w:eastAsiaTheme="minorHAnsi"/>
        </w:rPr>
      </w:pPr>
      <w:r w:rsidRPr="00A3221A">
        <w:rPr>
          <w:rFonts w:eastAsiaTheme="minorHAnsi"/>
        </w:rPr>
        <w:t>The exploration project on the Tartoq property as described in Tartoq Report (the "</w:t>
      </w:r>
      <w:r w:rsidRPr="00A3221A">
        <w:rPr>
          <w:rFonts w:eastAsiaTheme="minorHAnsi"/>
          <w:b/>
          <w:bCs/>
        </w:rPr>
        <w:t>Tartoq Project</w:t>
      </w:r>
      <w:r w:rsidRPr="00A3221A">
        <w:rPr>
          <w:rFonts w:eastAsiaTheme="minorHAnsi"/>
        </w:rPr>
        <w:t>") is comprised of the area covered by the Mineral Exploration Licence 2015/17 (the "</w:t>
      </w:r>
      <w:r w:rsidRPr="00A3221A">
        <w:rPr>
          <w:rFonts w:eastAsiaTheme="minorHAnsi"/>
          <w:b/>
          <w:bCs/>
        </w:rPr>
        <w:t>Tartoq Licence</w:t>
      </w:r>
      <w:r w:rsidRPr="00A3221A">
        <w:rPr>
          <w:rFonts w:eastAsiaTheme="minorHAnsi"/>
        </w:rPr>
        <w:t>") in which Nalunaq A/S holds an undivided 100% interest. The Tartoq Licence conveys the exclusive right to explore for all mineral resources except hydrocarbons and radioactive elements. The licence was originally set to expire on December 31, 2019, but was subsequently renewed by the Corporation for a period of five years. This renewal was confirmed pursuant to Addendum No. 3 dated February 2020 which was signed by Nalunaq A/S on February 13, 2020 and became effective on March 13, 2020 when it was signed by the Government of Greenland. In response to the COVID-19 pandemic, the Government of Greenland gave an extension of the licence period for all exploration licences by two years, therefore the Tartoq licence expires December 31, 2026. At the expiration of the second term of the Tartoq Licence, Nalunaq A/S may, upon application to the MLSA, be granted up to four consecutive three-year extensions for an aggregate additional 12-year period.</w:t>
      </w:r>
    </w:p>
    <w:p w14:paraId="404CB6D7" w14:textId="77777777" w:rsidR="009633AC" w:rsidRDefault="009633AC" w:rsidP="009633AC">
      <w:pPr>
        <w:pStyle w:val="ProspectusCont2"/>
        <w:rPr>
          <w:rFonts w:eastAsiaTheme="minorHAnsi"/>
          <w:lang w:val="en-GB" w:eastAsia="is-IS"/>
        </w:rPr>
      </w:pPr>
      <w:r w:rsidRPr="00A52F2C">
        <w:rPr>
          <w:rFonts w:eastAsiaTheme="minorHAnsi"/>
          <w:lang w:val="en-GB" w:eastAsia="is-IS"/>
        </w:rPr>
        <w:t>The Tartoq Project covers an "official area" (all parts of the licence excluding those covered by sea) of 78 km</w:t>
      </w:r>
      <w:r w:rsidRPr="00A52F2C">
        <w:rPr>
          <w:rFonts w:eastAsiaTheme="minorHAnsi"/>
          <w:vertAlign w:val="superscript"/>
          <w:lang w:val="en-GB" w:eastAsia="is-IS"/>
        </w:rPr>
        <w:t>2</w:t>
      </w:r>
      <w:r w:rsidRPr="00A52F2C">
        <w:rPr>
          <w:rFonts w:eastAsiaTheme="minorHAnsi"/>
          <w:lang w:val="en-GB" w:eastAsia="is-IS"/>
        </w:rPr>
        <w:t xml:space="preserve"> in south-western Greenland, some 330 km from the capital, Nuuk. The approximate centre of the project is 61°30'N latitude and 48°40'W longitude. The Tartoq Project flanks the Sermiligaarsuk Fjord and is split into two licence sub-blocks: Nuuluk on the southern side of the fjord and Iterlak on the northern side to the east.</w:t>
      </w:r>
    </w:p>
    <w:p w14:paraId="5A0F2D3F" w14:textId="77777777" w:rsidR="009633AC" w:rsidRPr="00A52F2C" w:rsidRDefault="009633AC" w:rsidP="009633AC">
      <w:pPr>
        <w:pStyle w:val="ProspectusCont2"/>
        <w:rPr>
          <w:rFonts w:eastAsiaTheme="minorHAnsi"/>
          <w:lang w:val="en-GB" w:eastAsia="is-IS"/>
        </w:rPr>
      </w:pPr>
      <w:r w:rsidRPr="00A52F2C">
        <w:rPr>
          <w:rFonts w:eastAsiaTheme="minorHAnsi"/>
          <w:lang w:val="en-GB" w:eastAsia="is-IS"/>
        </w:rPr>
        <w:t>There is no infrastructure within the licence area and access is by boat and then on foot to reach the main target areas, or by helicopter. Given the remote location of the project, any development of the site for mineral exploration and mining would require self-sufficiency in terms of utilities and infrastructure.</w:t>
      </w:r>
    </w:p>
    <w:p w14:paraId="1347AD3F" w14:textId="77777777" w:rsidR="009633AC" w:rsidRPr="00A52F2C" w:rsidRDefault="009633AC" w:rsidP="009633AC">
      <w:pPr>
        <w:pStyle w:val="ProspectusL3"/>
        <w:rPr>
          <w:rFonts w:eastAsiaTheme="minorHAnsi"/>
        </w:rPr>
      </w:pPr>
      <w:r w:rsidRPr="00A52F2C">
        <w:rPr>
          <w:rFonts w:eastAsiaTheme="minorHAnsi"/>
        </w:rPr>
        <w:t xml:space="preserve">Exploration </w:t>
      </w:r>
      <w:r>
        <w:rPr>
          <w:rFonts w:eastAsiaTheme="minorHAnsi"/>
        </w:rPr>
        <w:t>W</w:t>
      </w:r>
      <w:r w:rsidRPr="00A52F2C">
        <w:rPr>
          <w:rFonts w:eastAsiaTheme="minorHAnsi"/>
        </w:rPr>
        <w:t>ork</w:t>
      </w:r>
    </w:p>
    <w:p w14:paraId="3FCDF7D1" w14:textId="77777777" w:rsidR="009633AC" w:rsidRPr="00A52F2C" w:rsidRDefault="009633AC" w:rsidP="009633AC">
      <w:pPr>
        <w:pStyle w:val="ProspectusCont2"/>
        <w:rPr>
          <w:rFonts w:eastAsiaTheme="minorHAnsi"/>
        </w:rPr>
      </w:pPr>
      <w:r w:rsidRPr="00A52F2C">
        <w:rPr>
          <w:rFonts w:eastAsiaTheme="minorHAnsi"/>
        </w:rPr>
        <w:t>No field work was conducted on the project during 2022. Desktop work across the asset has continued towards developing an exploration development plan. In 2023, the Corporation reviewed all compiled data and constructed 3D models which may assist in targeting gold and strategic metals within the licence.</w:t>
      </w:r>
      <w:r w:rsidRPr="00A52F2C">
        <w:rPr>
          <w:rFonts w:eastAsiaTheme="minorHAnsi"/>
          <w:lang w:val="is-IS"/>
        </w:rPr>
        <w:t xml:space="preserve"> </w:t>
      </w:r>
      <w:r w:rsidRPr="00A52F2C">
        <w:rPr>
          <w:rFonts w:eastAsiaTheme="minorHAnsi"/>
        </w:rPr>
        <w:t>Exploration development will be focused on a thorough data compilation review and 3D geological modelling ahead of definitive plans for 2024.</w:t>
      </w:r>
    </w:p>
    <w:p w14:paraId="5BA8F407" w14:textId="77777777" w:rsidR="009633AC" w:rsidRPr="00A52F2C" w:rsidRDefault="009633AC" w:rsidP="009633AC">
      <w:pPr>
        <w:pStyle w:val="ProspectusL2"/>
        <w:rPr>
          <w:rFonts w:eastAsiaTheme="minorHAnsi"/>
        </w:rPr>
      </w:pPr>
      <w:r w:rsidRPr="00A52F2C">
        <w:rPr>
          <w:rFonts w:eastAsiaTheme="minorHAnsi"/>
        </w:rPr>
        <w:t>Vagar</w:t>
      </w:r>
    </w:p>
    <w:p w14:paraId="7BA687FB" w14:textId="77777777" w:rsidR="009633AC" w:rsidRPr="00A52F2C" w:rsidRDefault="009633AC" w:rsidP="009633AC">
      <w:pPr>
        <w:pStyle w:val="ProspectusL3"/>
        <w:rPr>
          <w:rFonts w:eastAsiaTheme="minorHAnsi"/>
        </w:rPr>
      </w:pPr>
      <w:r w:rsidRPr="00A52F2C">
        <w:rPr>
          <w:rFonts w:eastAsiaTheme="minorHAnsi"/>
        </w:rPr>
        <w:t xml:space="preserve">Property </w:t>
      </w:r>
      <w:r>
        <w:rPr>
          <w:rFonts w:eastAsiaTheme="minorHAnsi"/>
        </w:rPr>
        <w:t>D</w:t>
      </w:r>
      <w:r w:rsidRPr="00A52F2C">
        <w:rPr>
          <w:rFonts w:eastAsiaTheme="minorHAnsi"/>
        </w:rPr>
        <w:t>escription</w:t>
      </w:r>
    </w:p>
    <w:p w14:paraId="3EBBA76A" w14:textId="77777777" w:rsidR="009633AC" w:rsidRPr="00A52F2C" w:rsidRDefault="009633AC" w:rsidP="009633AC">
      <w:pPr>
        <w:pStyle w:val="ProspectusCont2"/>
        <w:rPr>
          <w:rFonts w:eastAsiaTheme="minorHAnsi"/>
        </w:rPr>
      </w:pPr>
      <w:r w:rsidRPr="00A52F2C">
        <w:rPr>
          <w:rFonts w:eastAsiaTheme="minorHAnsi"/>
        </w:rPr>
        <w:t>The Vagar licence was purchased from Nuna Minerals A/S on February 6, 2017 (the "</w:t>
      </w:r>
      <w:r w:rsidRPr="00A52F2C">
        <w:rPr>
          <w:rFonts w:eastAsiaTheme="minorHAnsi"/>
          <w:b/>
          <w:bCs/>
        </w:rPr>
        <w:t>Vagar Licence</w:t>
      </w:r>
      <w:r w:rsidRPr="00A52F2C">
        <w:rPr>
          <w:rFonts w:eastAsiaTheme="minorHAnsi"/>
        </w:rPr>
        <w:t xml:space="preserve">") and it was originally set to expire on December 31, 2021 with a possible 6-year extension. In response to the COVID-19 pandemic and the Corporation's application, the Government of Greenland gave an extension of the licence period by three years. The licence therefore expires on December 31, 2024. </w:t>
      </w:r>
      <w:r w:rsidRPr="00A52F2C">
        <w:rPr>
          <w:rFonts w:eastAsiaTheme="minorHAnsi"/>
          <w:lang w:val="is-IS"/>
        </w:rPr>
        <w:t>A licence extension and reduction has been submitted by the Corporation and is being processed. The new expiry date is expected to be December 31, 2026.</w:t>
      </w:r>
      <w:r w:rsidRPr="00A52F2C">
        <w:rPr>
          <w:rFonts w:eastAsiaTheme="minorHAnsi"/>
        </w:rPr>
        <w:t xml:space="preserve"> After a reduction of the size of the area, the Vagar Licence covers an official area of 197.08 km</w:t>
      </w:r>
      <w:r w:rsidRPr="00A52F2C">
        <w:rPr>
          <w:rFonts w:eastAsiaTheme="minorHAnsi"/>
          <w:vertAlign w:val="superscript"/>
        </w:rPr>
        <w:t>2</w:t>
      </w:r>
      <w:r w:rsidRPr="00A52F2C">
        <w:rPr>
          <w:rFonts w:eastAsiaTheme="minorHAnsi"/>
        </w:rPr>
        <w:t xml:space="preserve"> and comprises three sub-areas. The acquisition of this licence area is potentially important to the Corporation since it is close to the Nalunaq Property and hosts a number of gold prospects that lie along the prospective Nanortalik Gold Belt, some of which show similarities to Nalunaq.</w:t>
      </w:r>
    </w:p>
    <w:p w14:paraId="40125178" w14:textId="77777777" w:rsidR="009633AC" w:rsidRPr="00A52F2C" w:rsidRDefault="009633AC" w:rsidP="009633AC">
      <w:pPr>
        <w:pStyle w:val="ProspectusL3"/>
        <w:rPr>
          <w:rFonts w:eastAsiaTheme="minorHAnsi"/>
        </w:rPr>
      </w:pPr>
      <w:r w:rsidRPr="00A52F2C">
        <w:rPr>
          <w:rFonts w:eastAsiaTheme="minorHAnsi"/>
        </w:rPr>
        <w:t xml:space="preserve">Exploration </w:t>
      </w:r>
      <w:r>
        <w:rPr>
          <w:rFonts w:eastAsiaTheme="minorHAnsi"/>
        </w:rPr>
        <w:t>W</w:t>
      </w:r>
      <w:r w:rsidRPr="00A52F2C">
        <w:rPr>
          <w:rFonts w:eastAsiaTheme="minorHAnsi"/>
        </w:rPr>
        <w:t>ork - Vagar Ridge and the Vagar Licence Area</w:t>
      </w:r>
    </w:p>
    <w:p w14:paraId="19CC38C5" w14:textId="77777777" w:rsidR="009633AC" w:rsidRDefault="009633AC" w:rsidP="009633AC">
      <w:pPr>
        <w:pStyle w:val="ProspectusCont2"/>
        <w:rPr>
          <w:rFonts w:eastAsiaTheme="minorHAnsi"/>
        </w:rPr>
      </w:pPr>
      <w:r w:rsidRPr="00A52F2C">
        <w:rPr>
          <w:rFonts w:eastAsiaTheme="minorHAnsi"/>
        </w:rPr>
        <w:t xml:space="preserve">During 2022, Amaroq completed 1,445m of scout core drilling in four drillholes at the Vagar Ridge target, with the objective of understanding the extent and styles of </w:t>
      </w:r>
      <w:r>
        <w:rPr>
          <w:rFonts w:eastAsiaTheme="minorHAnsi"/>
        </w:rPr>
        <w:t>mineralization</w:t>
      </w:r>
      <w:r w:rsidRPr="00A52F2C">
        <w:rPr>
          <w:rFonts w:eastAsiaTheme="minorHAnsi"/>
        </w:rPr>
        <w:t xml:space="preserve"> present. This drilling was supplemented with systematic surface sampling and geological mapping across the Vagar Ridge and East Ridge areas in order to develop</w:t>
      </w:r>
      <w:r>
        <w:rPr>
          <w:rFonts w:eastAsiaTheme="minorHAnsi"/>
        </w:rPr>
        <w:t xml:space="preserve"> an</w:t>
      </w:r>
      <w:r w:rsidRPr="00A52F2C">
        <w:rPr>
          <w:rFonts w:eastAsiaTheme="minorHAnsi"/>
        </w:rPr>
        <w:t xml:space="preserve"> understanding of lithologies and controlling structures in areas of potential Intrusion Related Gold </w:t>
      </w:r>
      <w:r>
        <w:rPr>
          <w:rFonts w:eastAsiaTheme="minorHAnsi"/>
        </w:rPr>
        <w:t>mineralization</w:t>
      </w:r>
      <w:r w:rsidRPr="00A52F2C">
        <w:rPr>
          <w:rFonts w:eastAsiaTheme="minorHAnsi"/>
        </w:rPr>
        <w:t>. The originally planned 2,000m programme was hampered by unseasonable weather conditions and issues that will be remedied in future drilling seasons by establishment of temporary camps closer to the drill sites.</w:t>
      </w:r>
    </w:p>
    <w:p w14:paraId="4AAA9EAE" w14:textId="77777777" w:rsidR="009633AC" w:rsidRPr="00A52F2C" w:rsidRDefault="009633AC" w:rsidP="009633AC">
      <w:pPr>
        <w:pStyle w:val="ProspectusCont2"/>
        <w:rPr>
          <w:rFonts w:eastAsiaTheme="minorHAnsi"/>
          <w:lang w:val="en-GB" w:eastAsia="is-IS"/>
        </w:rPr>
      </w:pPr>
      <w:r w:rsidRPr="00A52F2C">
        <w:rPr>
          <w:rFonts w:eastAsiaTheme="minorHAnsi"/>
          <w:lang w:val="en-GB" w:eastAsia="is-IS"/>
        </w:rPr>
        <w:lastRenderedPageBreak/>
        <w:t xml:space="preserve">This program resulted in the identification of anomalous gold intersections in all completed drillholes with intersections believed to be indicative of an Intrusion Related Gold </w:t>
      </w:r>
      <w:r>
        <w:rPr>
          <w:rFonts w:eastAsiaTheme="minorHAnsi"/>
          <w:lang w:val="en-GB" w:eastAsia="is-IS"/>
        </w:rPr>
        <w:t>mineralization</w:t>
      </w:r>
      <w:r w:rsidRPr="00A52F2C">
        <w:rPr>
          <w:rFonts w:eastAsiaTheme="minorHAnsi"/>
          <w:lang w:val="en-GB" w:eastAsia="is-IS"/>
        </w:rPr>
        <w:t xml:space="preserve"> system associated with a large tonnage target, centred on a gold anomalous zone of significant scale approximately</w:t>
      </w:r>
      <w:r>
        <w:rPr>
          <w:rFonts w:eastAsiaTheme="minorHAnsi"/>
          <w:lang w:val="en-GB" w:eastAsia="is-IS"/>
        </w:rPr>
        <w:t xml:space="preserve"> </w:t>
      </w:r>
      <w:r w:rsidRPr="00A52F2C">
        <w:rPr>
          <w:rFonts w:eastAsiaTheme="minorHAnsi"/>
          <w:lang w:val="en-GB" w:eastAsia="is-IS"/>
        </w:rPr>
        <w:t>14km</w:t>
      </w:r>
      <w:r w:rsidRPr="00A52F2C">
        <w:rPr>
          <w:rFonts w:eastAsiaTheme="minorHAnsi"/>
          <w:vertAlign w:val="superscript"/>
          <w:lang w:val="en-GB" w:eastAsia="is-IS"/>
        </w:rPr>
        <w:t>2</w:t>
      </w:r>
      <w:r w:rsidRPr="00A52F2C">
        <w:rPr>
          <w:rFonts w:eastAsiaTheme="minorHAnsi"/>
          <w:lang w:val="en-GB" w:eastAsia="is-IS"/>
        </w:rPr>
        <w:t xml:space="preserve">, equivalent to 175 times the area of Wembley stadium. Orogenic gold </w:t>
      </w:r>
      <w:r>
        <w:rPr>
          <w:rFonts w:eastAsiaTheme="minorHAnsi"/>
          <w:lang w:val="en-GB" w:eastAsia="is-IS"/>
        </w:rPr>
        <w:t>mineralization</w:t>
      </w:r>
      <w:r w:rsidRPr="00A52F2C">
        <w:rPr>
          <w:rFonts w:eastAsiaTheme="minorHAnsi"/>
          <w:lang w:val="en-GB" w:eastAsia="is-IS"/>
        </w:rPr>
        <w:t xml:space="preserve"> was also observed with geological controls similar to those seen at Nalunaq Property enabling the Corporation to leverage off previous experience. </w:t>
      </w:r>
    </w:p>
    <w:p w14:paraId="0E964D22" w14:textId="77777777" w:rsidR="009633AC" w:rsidRPr="00A52F2C" w:rsidRDefault="009633AC" w:rsidP="009633AC">
      <w:pPr>
        <w:pStyle w:val="ProspectusL3"/>
        <w:rPr>
          <w:rFonts w:eastAsiaTheme="minorHAnsi"/>
        </w:rPr>
      </w:pPr>
      <w:r w:rsidRPr="00A52F2C">
        <w:rPr>
          <w:rFonts w:eastAsiaTheme="minorHAnsi"/>
        </w:rPr>
        <w:t>Vagar Ridge Exploration Plans</w:t>
      </w:r>
    </w:p>
    <w:p w14:paraId="3719D59D" w14:textId="77777777" w:rsidR="009633AC" w:rsidRPr="00A52F2C" w:rsidRDefault="009633AC" w:rsidP="009633AC">
      <w:pPr>
        <w:pStyle w:val="ProspectusCont2"/>
        <w:rPr>
          <w:rFonts w:eastAsiaTheme="minorHAnsi"/>
        </w:rPr>
      </w:pPr>
      <w:r w:rsidRPr="00A52F2C">
        <w:rPr>
          <w:rFonts w:eastAsiaTheme="minorHAnsi"/>
        </w:rPr>
        <w:t xml:space="preserve">While the Corporation focussed its efforts on the development of the Nalunaq Property during 2023, additional data collection and review and further geological mapping and sampling is planned for Vagar Ridge, in addition to the other five high priority targets identified in a structural interpretation of the 2021 licence wide airborne geophysics survey. This will be aimed at constructing a robust geological and </w:t>
      </w:r>
      <w:r>
        <w:rPr>
          <w:rFonts w:eastAsiaTheme="minorHAnsi"/>
        </w:rPr>
        <w:t>mineralization</w:t>
      </w:r>
      <w:r w:rsidRPr="00A52F2C">
        <w:rPr>
          <w:rFonts w:eastAsiaTheme="minorHAnsi"/>
        </w:rPr>
        <w:t xml:space="preserve"> model to inform future exploration. Ground preparation and drill readiness preparations will also occur ahead of the 2024 season. </w:t>
      </w:r>
    </w:p>
    <w:p w14:paraId="7524ADB7" w14:textId="77777777" w:rsidR="009633AC" w:rsidRPr="00A52F2C" w:rsidRDefault="009633AC" w:rsidP="009633AC">
      <w:pPr>
        <w:pStyle w:val="ProspectusL3"/>
        <w:rPr>
          <w:rFonts w:eastAsiaTheme="minorHAnsi"/>
        </w:rPr>
      </w:pPr>
      <w:r w:rsidRPr="00A52F2C">
        <w:rPr>
          <w:rFonts w:eastAsiaTheme="minorHAnsi"/>
        </w:rPr>
        <w:t>Exploration</w:t>
      </w:r>
      <w:r>
        <w:rPr>
          <w:rFonts w:eastAsiaTheme="minorHAnsi"/>
        </w:rPr>
        <w:t xml:space="preserve"> W</w:t>
      </w:r>
      <w:r w:rsidRPr="00A52F2C">
        <w:rPr>
          <w:rFonts w:eastAsiaTheme="minorHAnsi"/>
        </w:rPr>
        <w:t>ork - Saqqaa Dyke</w:t>
      </w:r>
    </w:p>
    <w:p w14:paraId="1B2942D7" w14:textId="77777777" w:rsidR="009633AC" w:rsidRPr="00A52F2C" w:rsidRDefault="009633AC" w:rsidP="009633AC">
      <w:pPr>
        <w:pStyle w:val="ProspectusCont2"/>
        <w:rPr>
          <w:rFonts w:eastAsiaTheme="minorHAnsi"/>
        </w:rPr>
      </w:pPr>
      <w:r w:rsidRPr="00A52F2C">
        <w:rPr>
          <w:rFonts w:eastAsiaTheme="minorHAnsi"/>
        </w:rPr>
        <w:t xml:space="preserve">Within the Nalunaq East sub area of the Vagar licence, the Saqqaa peridotite dyke is known to host semi-massive and disseminated magmatic sulphide </w:t>
      </w:r>
      <w:r>
        <w:rPr>
          <w:rFonts w:eastAsiaTheme="minorHAnsi"/>
        </w:rPr>
        <w:t>mineralization</w:t>
      </w:r>
      <w:r w:rsidRPr="00A52F2C">
        <w:rPr>
          <w:rFonts w:eastAsiaTheme="minorHAnsi"/>
        </w:rPr>
        <w:t xml:space="preserve">, with elevated concentrations of nickel (up to &gt;1%), </w:t>
      </w:r>
      <w:r>
        <w:rPr>
          <w:rFonts w:eastAsiaTheme="minorHAnsi"/>
        </w:rPr>
        <w:t>c</w:t>
      </w:r>
      <w:r w:rsidRPr="00A52F2C">
        <w:rPr>
          <w:rFonts w:eastAsiaTheme="minorHAnsi"/>
        </w:rPr>
        <w:t xml:space="preserve">opper (up to 6% in float samples), and </w:t>
      </w:r>
      <w:r>
        <w:rPr>
          <w:rFonts w:eastAsiaTheme="minorHAnsi"/>
        </w:rPr>
        <w:t>p</w:t>
      </w:r>
      <w:r w:rsidRPr="00A52F2C">
        <w:rPr>
          <w:rFonts w:eastAsiaTheme="minorHAnsi"/>
        </w:rPr>
        <w:t xml:space="preserve">latinum </w:t>
      </w:r>
      <w:r>
        <w:rPr>
          <w:rFonts w:eastAsiaTheme="minorHAnsi"/>
        </w:rPr>
        <w:t>g</w:t>
      </w:r>
      <w:r w:rsidRPr="00A52F2C">
        <w:rPr>
          <w:rFonts w:eastAsiaTheme="minorHAnsi"/>
        </w:rPr>
        <w:t xml:space="preserve">roup </w:t>
      </w:r>
      <w:r>
        <w:rPr>
          <w:rFonts w:eastAsiaTheme="minorHAnsi"/>
        </w:rPr>
        <w:t>e</w:t>
      </w:r>
      <w:r w:rsidRPr="00A52F2C">
        <w:rPr>
          <w:rFonts w:eastAsiaTheme="minorHAnsi"/>
        </w:rPr>
        <w:t xml:space="preserve">lements (up to 10 g/t Pd in channel samples). This </w:t>
      </w:r>
      <w:r>
        <w:rPr>
          <w:rFonts w:eastAsiaTheme="minorHAnsi"/>
        </w:rPr>
        <w:t>mineralization</w:t>
      </w:r>
      <w:r w:rsidRPr="00A52F2C">
        <w:rPr>
          <w:rFonts w:eastAsiaTheme="minorHAnsi"/>
        </w:rPr>
        <w:t xml:space="preserve"> was revisited during 2021 with a number of ground geophysical lines conducted to signature the body in the valley and hence illustrate its strike extend.</w:t>
      </w:r>
    </w:p>
    <w:p w14:paraId="18F5E13D" w14:textId="77777777" w:rsidR="009633AC" w:rsidRPr="00A52F2C" w:rsidRDefault="009633AC" w:rsidP="009633AC">
      <w:pPr>
        <w:pStyle w:val="ProspectusL3"/>
        <w:rPr>
          <w:rFonts w:eastAsiaTheme="minorHAnsi"/>
        </w:rPr>
      </w:pPr>
      <w:r w:rsidRPr="00A52F2C">
        <w:rPr>
          <w:rFonts w:eastAsiaTheme="minorHAnsi"/>
        </w:rPr>
        <w:t>Saqqaa Dyke Exploration Plans</w:t>
      </w:r>
    </w:p>
    <w:p w14:paraId="2BCE9E4E" w14:textId="77777777" w:rsidR="009633AC" w:rsidRPr="00A52F2C" w:rsidRDefault="009633AC" w:rsidP="009633AC">
      <w:pPr>
        <w:pStyle w:val="ProspectusCont2"/>
        <w:rPr>
          <w:rFonts w:eastAsiaTheme="minorHAnsi"/>
        </w:rPr>
      </w:pPr>
      <w:r w:rsidRPr="00A52F2C">
        <w:rPr>
          <w:rFonts w:eastAsiaTheme="minorHAnsi"/>
        </w:rPr>
        <w:t>No further exploration was conducted on the project during 2022. 200m of scout drilling was completed on the project during the 2023 field season, making use of available rigs at the nearby Nalunaq project. These holes were drilled from the Nalunaq mine access road, targeting magnetic anomalies from the 2021 ground-based geophysics lines.</w:t>
      </w:r>
      <w:r w:rsidRPr="00A52F2C">
        <w:rPr>
          <w:rFonts w:eastAsiaTheme="minorHAnsi"/>
          <w:vertAlign w:val="superscript"/>
        </w:rPr>
        <w:t xml:space="preserve">  </w:t>
      </w:r>
      <w:r w:rsidRPr="00A52F2C">
        <w:rPr>
          <w:rFonts w:eastAsiaTheme="minorHAnsi"/>
          <w:lang w:val="is-IS"/>
        </w:rPr>
        <w:t>The results of this drilling are pending and expected in Q1 2024.</w:t>
      </w:r>
    </w:p>
    <w:p w14:paraId="309BD234" w14:textId="77777777" w:rsidR="009633AC" w:rsidRPr="00A52F2C" w:rsidRDefault="009633AC" w:rsidP="009633AC">
      <w:pPr>
        <w:pStyle w:val="ProspectusL2"/>
        <w:rPr>
          <w:rFonts w:eastAsiaTheme="minorHAnsi"/>
        </w:rPr>
      </w:pPr>
      <w:r w:rsidRPr="00A52F2C">
        <w:rPr>
          <w:rFonts w:eastAsiaTheme="minorHAnsi"/>
        </w:rPr>
        <w:t>Nuna Nutaaq</w:t>
      </w:r>
    </w:p>
    <w:p w14:paraId="64DBF3BF" w14:textId="77777777" w:rsidR="009633AC" w:rsidRPr="00A52F2C" w:rsidRDefault="009633AC" w:rsidP="009633AC">
      <w:pPr>
        <w:pStyle w:val="ProspectusL3"/>
        <w:rPr>
          <w:rFonts w:eastAsiaTheme="minorHAnsi"/>
        </w:rPr>
      </w:pPr>
      <w:r w:rsidRPr="00A52F2C">
        <w:rPr>
          <w:rFonts w:eastAsiaTheme="minorHAnsi"/>
        </w:rPr>
        <w:t>Property Description</w:t>
      </w:r>
    </w:p>
    <w:p w14:paraId="6522E4F0" w14:textId="77777777" w:rsidR="009633AC" w:rsidRDefault="009633AC" w:rsidP="009633AC">
      <w:pPr>
        <w:pStyle w:val="ProspectusCont2"/>
        <w:rPr>
          <w:rFonts w:eastAsiaTheme="minorHAnsi"/>
        </w:rPr>
      </w:pPr>
      <w:r w:rsidRPr="00A52F2C">
        <w:rPr>
          <w:rFonts w:eastAsiaTheme="minorHAnsi"/>
        </w:rPr>
        <w:t>Amaroq has been granted exclusive exploration rights under a Mineral Exploration Licence in South Greenland: licence 2019/113. The licence is comprised of five sub-areas and covers a total of 244.45 km</w:t>
      </w:r>
      <w:r w:rsidRPr="00A52F2C">
        <w:rPr>
          <w:rFonts w:eastAsiaTheme="minorHAnsi"/>
          <w:vertAlign w:val="superscript"/>
        </w:rPr>
        <w:t>2</w:t>
      </w:r>
      <w:r w:rsidRPr="00A52F2C">
        <w:rPr>
          <w:rFonts w:eastAsiaTheme="minorHAnsi"/>
        </w:rPr>
        <w:t xml:space="preserve"> within the Nanortalik Gold Belt.</w:t>
      </w:r>
    </w:p>
    <w:p w14:paraId="06B5C360" w14:textId="77777777" w:rsidR="009633AC" w:rsidRPr="00A52F2C" w:rsidRDefault="009633AC" w:rsidP="009633AC">
      <w:pPr>
        <w:pStyle w:val="ProspectusCont2"/>
        <w:rPr>
          <w:rFonts w:eastAsiaTheme="minorHAnsi"/>
          <w:lang w:val="en-GB" w:eastAsia="is-IS"/>
        </w:rPr>
      </w:pPr>
      <w:r w:rsidRPr="00A52F2C">
        <w:rPr>
          <w:rFonts w:eastAsiaTheme="minorHAnsi"/>
          <w:lang w:val="en-GB" w:eastAsia="is-IS"/>
        </w:rPr>
        <w:t>The licence application was approved and all required documentation was signed by the Corporation on September 13, 2019 and the licence became effective on September 26, 2019 when it was signed by the Government of Greenland. The licence was originally set to expire on December 31, 2023 with a possible 5-year extension. In response to the COVID-19 pandemic, the Government of Greenland gave an extension of the licence period for all exploration licences by two years, therefore the licence expires December 31, 2025.</w:t>
      </w:r>
    </w:p>
    <w:p w14:paraId="0614FAD7" w14:textId="77777777" w:rsidR="009633AC" w:rsidRPr="00A52F2C" w:rsidRDefault="009633AC" w:rsidP="009633AC">
      <w:pPr>
        <w:pStyle w:val="ProspectusL3"/>
        <w:rPr>
          <w:rFonts w:eastAsiaTheme="minorHAnsi"/>
        </w:rPr>
      </w:pPr>
      <w:r w:rsidRPr="00A52F2C">
        <w:rPr>
          <w:rFonts w:eastAsiaTheme="minorHAnsi"/>
        </w:rPr>
        <w:t>Exploration Work – Nørrearm (Nørrearm is a fjord located in Kujalleq, Greenland).</w:t>
      </w:r>
    </w:p>
    <w:p w14:paraId="6DE7D016" w14:textId="77777777" w:rsidR="009633AC" w:rsidRDefault="009633AC" w:rsidP="009633AC">
      <w:pPr>
        <w:pStyle w:val="ProspectusCont2"/>
        <w:rPr>
          <w:rFonts w:eastAsiaTheme="minorHAnsi"/>
        </w:rPr>
      </w:pPr>
      <w:r w:rsidRPr="00A52F2C">
        <w:rPr>
          <w:rFonts w:eastAsiaTheme="minorHAnsi"/>
        </w:rPr>
        <w:t>A graphite-sulphide horizon discovered in 2019 was revisited in 2021 to further assess the form and extent of this minerali</w:t>
      </w:r>
      <w:r>
        <w:rPr>
          <w:rFonts w:eastAsiaTheme="minorHAnsi"/>
        </w:rPr>
        <w:t>z</w:t>
      </w:r>
      <w:r w:rsidRPr="00A52F2C">
        <w:rPr>
          <w:rFonts w:eastAsiaTheme="minorHAnsi"/>
        </w:rPr>
        <w:t>ed body. A large (</w:t>
      </w:r>
      <w:r>
        <w:rPr>
          <w:rFonts w:eastAsiaTheme="minorHAnsi"/>
        </w:rPr>
        <w:t xml:space="preserve">greater than </w:t>
      </w:r>
      <w:r w:rsidRPr="00A52F2C">
        <w:rPr>
          <w:rFonts w:eastAsiaTheme="minorHAnsi"/>
        </w:rPr>
        <w:t>50kg) sample was collected and dispatched to Wardell Armstrong, a mineral industry and processing consultancy and testing facility, for preliminary ore characterisation, grind test work and metallurgical test work, including characterising the flake size, in order to assess likely mineral processing characteristics.</w:t>
      </w:r>
    </w:p>
    <w:p w14:paraId="7126CEDB" w14:textId="77777777" w:rsidR="009633AC" w:rsidRDefault="009633AC" w:rsidP="009633AC">
      <w:pPr>
        <w:pStyle w:val="ProspectusCont2"/>
        <w:rPr>
          <w:rFonts w:eastAsiaTheme="minorHAnsi"/>
          <w:lang w:val="en-GB" w:eastAsia="is-IS"/>
        </w:rPr>
      </w:pPr>
      <w:r w:rsidRPr="00A52F2C">
        <w:rPr>
          <w:rFonts w:eastAsiaTheme="minorHAnsi"/>
          <w:lang w:val="en-GB" w:eastAsia="is-IS"/>
        </w:rPr>
        <w:t xml:space="preserve">The results of the sample analysis gives a fairly consistent </w:t>
      </w:r>
      <w:r>
        <w:rPr>
          <w:rFonts w:eastAsiaTheme="minorHAnsi"/>
          <w:lang w:val="en-GB" w:eastAsia="is-IS"/>
        </w:rPr>
        <w:t>c</w:t>
      </w:r>
      <w:r w:rsidRPr="00A52F2C">
        <w:rPr>
          <w:rFonts w:eastAsiaTheme="minorHAnsi"/>
          <w:lang w:val="en-GB" w:eastAsia="is-IS"/>
        </w:rPr>
        <w:t>arbon grade from the graphite content across the sample fractions of 4 - 6 wt%. The flake size is of key interest and was found to be relatively fine with a D80 of 217μm and D50 of 85μm. This means the material will require significant milling to liberate the graphite, which in itself is likely to further reduce the overall flake size.</w:t>
      </w:r>
    </w:p>
    <w:p w14:paraId="78DA92ED" w14:textId="77777777" w:rsidR="009633AC" w:rsidRPr="00A52F2C" w:rsidRDefault="009633AC" w:rsidP="009633AC">
      <w:pPr>
        <w:pStyle w:val="ProspectusCont2"/>
        <w:rPr>
          <w:rFonts w:eastAsiaTheme="minorHAnsi"/>
          <w:lang w:val="en-GB" w:eastAsia="is-IS"/>
        </w:rPr>
      </w:pPr>
      <w:r w:rsidRPr="00A52F2C">
        <w:rPr>
          <w:rFonts w:eastAsiaTheme="minorHAnsi"/>
          <w:lang w:val="en-GB" w:eastAsia="is-IS"/>
        </w:rPr>
        <w:lastRenderedPageBreak/>
        <w:t xml:space="preserve">The graphite target is likely large, however no further work was carried out during the 2022 field season. No further work was </w:t>
      </w:r>
      <w:r w:rsidRPr="00C31C8E">
        <w:rPr>
          <w:rFonts w:eastAsiaTheme="minorHAnsi"/>
          <w:lang w:val="en-GB" w:eastAsia="is-IS"/>
        </w:rPr>
        <w:t>conducted</w:t>
      </w:r>
      <w:r w:rsidRPr="00A52F2C">
        <w:rPr>
          <w:rFonts w:eastAsiaTheme="minorHAnsi"/>
          <w:lang w:val="en-GB" w:eastAsia="is-IS"/>
        </w:rPr>
        <w:t xml:space="preserve"> at Nørrearm in 2023. Instead, </w:t>
      </w:r>
      <w:r>
        <w:rPr>
          <w:rFonts w:eastAsiaTheme="minorHAnsi"/>
          <w:lang w:val="en-GB" w:eastAsia="is-IS"/>
        </w:rPr>
        <w:t>the Corporation</w:t>
      </w:r>
      <w:r w:rsidRPr="00A52F2C">
        <w:rPr>
          <w:rFonts w:eastAsiaTheme="minorHAnsi"/>
          <w:lang w:val="en-GB" w:eastAsia="is-IS"/>
        </w:rPr>
        <w:t xml:space="preserve"> plans to expand its graphite exploration efforts across a number of other occurrences within its portfolio, utili</w:t>
      </w:r>
      <w:r>
        <w:rPr>
          <w:rFonts w:eastAsiaTheme="minorHAnsi"/>
          <w:lang w:val="en-GB" w:eastAsia="is-IS"/>
        </w:rPr>
        <w:t>z</w:t>
      </w:r>
      <w:r w:rsidRPr="00A52F2C">
        <w:rPr>
          <w:rFonts w:eastAsiaTheme="minorHAnsi"/>
          <w:lang w:val="en-GB" w:eastAsia="is-IS"/>
        </w:rPr>
        <w:t xml:space="preserve">ing the geological understanding gained at Nørrearm, with the aim of identifying </w:t>
      </w:r>
      <w:r>
        <w:rPr>
          <w:rFonts w:eastAsiaTheme="minorHAnsi"/>
          <w:lang w:val="en-GB" w:eastAsia="is-IS"/>
        </w:rPr>
        <w:t>mineralization</w:t>
      </w:r>
      <w:r w:rsidRPr="00A52F2C">
        <w:rPr>
          <w:rFonts w:eastAsiaTheme="minorHAnsi"/>
          <w:lang w:val="en-GB" w:eastAsia="is-IS"/>
        </w:rPr>
        <w:t xml:space="preserve"> with higher carbon content and flake sizes.</w:t>
      </w:r>
    </w:p>
    <w:p w14:paraId="74439989" w14:textId="77777777" w:rsidR="009633AC" w:rsidRPr="00A52F2C" w:rsidRDefault="009633AC" w:rsidP="009633AC">
      <w:pPr>
        <w:pStyle w:val="ProspectusL3"/>
        <w:rPr>
          <w:rFonts w:eastAsiaTheme="minorHAnsi"/>
        </w:rPr>
      </w:pPr>
      <w:r w:rsidRPr="00A52F2C">
        <w:rPr>
          <w:rFonts w:eastAsiaTheme="minorHAnsi"/>
        </w:rPr>
        <w:t>Exploration Work - Nanoq</w:t>
      </w:r>
    </w:p>
    <w:p w14:paraId="60661E52" w14:textId="77777777" w:rsidR="009633AC" w:rsidRPr="00A52F2C" w:rsidRDefault="009633AC" w:rsidP="009633AC">
      <w:pPr>
        <w:pStyle w:val="ProspectusCont2"/>
        <w:rPr>
          <w:rFonts w:eastAsiaTheme="minorHAnsi"/>
        </w:rPr>
      </w:pPr>
      <w:r w:rsidRPr="00A52F2C">
        <w:rPr>
          <w:rFonts w:eastAsiaTheme="minorHAnsi"/>
        </w:rPr>
        <w:t xml:space="preserve">Following the 2021 field season where the Corporation conducted a programme of surface mapping and the creation of a structural model aiding the Corporation to understand the likely controls on </w:t>
      </w:r>
      <w:r>
        <w:rPr>
          <w:rFonts w:eastAsiaTheme="minorHAnsi"/>
        </w:rPr>
        <w:t>mineralization</w:t>
      </w:r>
      <w:r w:rsidRPr="00A52F2C">
        <w:rPr>
          <w:rFonts w:eastAsiaTheme="minorHAnsi"/>
        </w:rPr>
        <w:t>, the Corporation has concentrated on building on this understanding in the production of a new geophysical survey. During September and October 2022, New Resolution Geophysics ("</w:t>
      </w:r>
      <w:r w:rsidRPr="00A52F2C">
        <w:rPr>
          <w:rFonts w:eastAsiaTheme="minorHAnsi"/>
          <w:b/>
          <w:bCs/>
        </w:rPr>
        <w:t>NRG</w:t>
      </w:r>
      <w:r w:rsidRPr="00A52F2C">
        <w:rPr>
          <w:rFonts w:eastAsiaTheme="minorHAnsi"/>
        </w:rPr>
        <w:t>") conducted a 407.65 km</w:t>
      </w:r>
      <w:r w:rsidRPr="00A52F2C">
        <w:rPr>
          <w:rFonts w:eastAsiaTheme="minorHAnsi"/>
          <w:vertAlign w:val="superscript"/>
        </w:rPr>
        <w:t>2</w:t>
      </w:r>
      <w:r w:rsidRPr="00A52F2C">
        <w:rPr>
          <w:rFonts w:eastAsiaTheme="minorHAnsi"/>
        </w:rPr>
        <w:t xml:space="preserve"> helicopter-borne magnetics, radiometrics and gravity high-resolution survey across the Nanoq, Siku and Jokum's Shear gold projects with the aim of defining geological models to direct future drilling campaigns. The results of this survey revealed numerous potential gold trap structures that coincide with known high-grade samples as well as a new large prospective zone to the immediate west of Nanoq, which exhibits similar controlling structures, opening up further target areas.</w:t>
      </w:r>
    </w:p>
    <w:p w14:paraId="48A60BE0" w14:textId="77777777" w:rsidR="009633AC" w:rsidRPr="00A52F2C" w:rsidRDefault="009633AC" w:rsidP="009633AC">
      <w:pPr>
        <w:pStyle w:val="ProspectusL3"/>
        <w:rPr>
          <w:rFonts w:eastAsiaTheme="minorHAnsi"/>
        </w:rPr>
      </w:pPr>
      <w:r w:rsidRPr="00A52F2C">
        <w:rPr>
          <w:rFonts w:eastAsiaTheme="minorHAnsi"/>
        </w:rPr>
        <w:t>Nanoq Exploration Plans</w:t>
      </w:r>
    </w:p>
    <w:p w14:paraId="25227348" w14:textId="77777777" w:rsidR="009633AC" w:rsidRPr="00A52F2C" w:rsidRDefault="009633AC" w:rsidP="009633AC">
      <w:pPr>
        <w:pStyle w:val="ProspectusCont2"/>
        <w:rPr>
          <w:rFonts w:eastAsiaTheme="minorHAnsi"/>
        </w:rPr>
      </w:pPr>
      <w:r w:rsidRPr="00A52F2C">
        <w:rPr>
          <w:rFonts w:eastAsiaTheme="minorHAnsi"/>
        </w:rPr>
        <w:t>Following this geophysical work, surface exploration is scheduled to evaluate additional structural targets as well as site preparation ahead of initial drilling in 2024.</w:t>
      </w:r>
    </w:p>
    <w:p w14:paraId="35AD6201" w14:textId="77777777" w:rsidR="009633AC" w:rsidRPr="00A52F2C" w:rsidRDefault="009633AC" w:rsidP="009633AC">
      <w:pPr>
        <w:pStyle w:val="ProspectusL3"/>
        <w:rPr>
          <w:rFonts w:eastAsiaTheme="minorHAnsi"/>
        </w:rPr>
      </w:pPr>
      <w:r w:rsidRPr="00A52F2C">
        <w:rPr>
          <w:rFonts w:eastAsiaTheme="minorHAnsi"/>
        </w:rPr>
        <w:t>Exploration Work – Jokum's Shear</w:t>
      </w:r>
    </w:p>
    <w:p w14:paraId="579599D4" w14:textId="77777777" w:rsidR="009633AC" w:rsidRPr="00A52F2C" w:rsidRDefault="009633AC" w:rsidP="009633AC">
      <w:pPr>
        <w:pStyle w:val="ProspectusCont2"/>
        <w:rPr>
          <w:rFonts w:eastAsiaTheme="minorHAnsi"/>
        </w:rPr>
      </w:pPr>
      <w:r w:rsidRPr="00A52F2C">
        <w:rPr>
          <w:rFonts w:eastAsiaTheme="minorHAnsi"/>
        </w:rPr>
        <w:t xml:space="preserve">In order to further the understanding of gold/copper </w:t>
      </w:r>
      <w:r>
        <w:rPr>
          <w:rFonts w:eastAsiaTheme="minorHAnsi"/>
        </w:rPr>
        <w:t>mineralization</w:t>
      </w:r>
      <w:r w:rsidRPr="00A52F2C">
        <w:rPr>
          <w:rFonts w:eastAsiaTheme="minorHAnsi"/>
        </w:rPr>
        <w:t xml:space="preserve"> discovered at Jokum's Shear, the potential structural connection through to Nanoq was investigated by the NRG geophysical survey described above. This geophysical survey provides further evidence of a c. 25km prospective gold corridor between Nanoq and the Jokum Shear project, (transecting the Siku licence) where a 1 x 2km area of favorable structures was also identified. </w:t>
      </w:r>
    </w:p>
    <w:p w14:paraId="213B2F36" w14:textId="77777777" w:rsidR="009633AC" w:rsidRPr="00A52F2C" w:rsidRDefault="009633AC" w:rsidP="009633AC">
      <w:pPr>
        <w:pStyle w:val="ProspectusL2"/>
        <w:rPr>
          <w:rFonts w:eastAsiaTheme="minorHAnsi"/>
        </w:rPr>
      </w:pPr>
      <w:r w:rsidRPr="00A52F2C">
        <w:rPr>
          <w:rFonts w:eastAsiaTheme="minorHAnsi"/>
        </w:rPr>
        <w:t>Anoritooq</w:t>
      </w:r>
    </w:p>
    <w:p w14:paraId="768EF23F" w14:textId="77777777" w:rsidR="009633AC" w:rsidRPr="00A52F2C" w:rsidRDefault="009633AC" w:rsidP="009633AC">
      <w:pPr>
        <w:pStyle w:val="ProspectusL3"/>
        <w:rPr>
          <w:rFonts w:eastAsiaTheme="minorHAnsi"/>
        </w:rPr>
      </w:pPr>
      <w:r w:rsidRPr="00A52F2C">
        <w:rPr>
          <w:rFonts w:eastAsiaTheme="minorHAnsi"/>
        </w:rPr>
        <w:t>Property Description</w:t>
      </w:r>
    </w:p>
    <w:p w14:paraId="64F04D9A" w14:textId="77777777" w:rsidR="009633AC" w:rsidRDefault="009633AC" w:rsidP="009633AC">
      <w:pPr>
        <w:pStyle w:val="ProspectusCont2"/>
        <w:rPr>
          <w:rFonts w:eastAsiaTheme="minorHAnsi"/>
        </w:rPr>
      </w:pPr>
      <w:r w:rsidRPr="00A52F2C">
        <w:rPr>
          <w:rFonts w:eastAsiaTheme="minorHAnsi"/>
        </w:rPr>
        <w:t>The Corporation acquired the exclusive right to conduct exploration activities on approximately 1,184 km</w:t>
      </w:r>
      <w:r w:rsidRPr="00A52F2C">
        <w:rPr>
          <w:rFonts w:eastAsiaTheme="minorHAnsi"/>
          <w:vertAlign w:val="superscript"/>
        </w:rPr>
        <w:t>2</w:t>
      </w:r>
      <w:r w:rsidRPr="00A52F2C">
        <w:rPr>
          <w:rFonts w:eastAsiaTheme="minorHAnsi"/>
        </w:rPr>
        <w:t xml:space="preserve"> of land in the areas of Anoritooq and Kangerluluk in South Greenland. The exploration rights were granted to the Corporation under a new separate Exploration Licence 2020/36, referred to as Anoritooq.</w:t>
      </w:r>
    </w:p>
    <w:p w14:paraId="71DDEA61" w14:textId="77777777" w:rsidR="009633AC" w:rsidRPr="00A52F2C" w:rsidRDefault="009633AC" w:rsidP="009633AC">
      <w:pPr>
        <w:pStyle w:val="ProspectusCont2"/>
        <w:rPr>
          <w:rFonts w:eastAsiaTheme="minorHAnsi"/>
          <w:lang w:val="en-GB" w:eastAsia="is-IS"/>
        </w:rPr>
      </w:pPr>
      <w:r w:rsidRPr="00A52F2C">
        <w:rPr>
          <w:rFonts w:eastAsiaTheme="minorHAnsi"/>
          <w:lang w:val="en-GB" w:eastAsia="is-IS"/>
        </w:rPr>
        <w:t>The licence application was approved, and all required documentation was signed by the Corporation on June 11, 2020 and the licence became effective on June 24, 2020 when it was signed by the Government of Greenland. In October 2020, the Corporation was granted an addendum to the Anoritooq licence, increasing the size of the licence to 1,889 km</w:t>
      </w:r>
      <w:r w:rsidRPr="00A52F2C">
        <w:rPr>
          <w:rFonts w:eastAsiaTheme="minorHAnsi"/>
          <w:vertAlign w:val="superscript"/>
          <w:lang w:val="en-GB" w:eastAsia="is-IS"/>
        </w:rPr>
        <w:t>2</w:t>
      </w:r>
      <w:r w:rsidRPr="00A52F2C">
        <w:rPr>
          <w:rFonts w:eastAsiaTheme="minorHAnsi"/>
          <w:lang w:val="en-GB" w:eastAsia="is-IS"/>
        </w:rPr>
        <w:t xml:space="preserve"> and this addendum became effective on November 6, 2020, when it was signed by the Government of Greenland. The licence was originally set to expire on December 31, 2024, with a possible 5-year extension. In response to the COVID-19 pandemic, the Government of Greenland gave an extension of the licence period for all exploration licences by two years, therefore the licence expires on December 31, 2026.</w:t>
      </w:r>
    </w:p>
    <w:p w14:paraId="6975787B" w14:textId="77777777" w:rsidR="009633AC" w:rsidRPr="00A52F2C" w:rsidRDefault="009633AC" w:rsidP="009633AC">
      <w:pPr>
        <w:pStyle w:val="ProspectusL3"/>
        <w:rPr>
          <w:rFonts w:eastAsiaTheme="minorHAnsi"/>
        </w:rPr>
      </w:pPr>
      <w:r w:rsidRPr="00A52F2C">
        <w:rPr>
          <w:rFonts w:eastAsiaTheme="minorHAnsi"/>
        </w:rPr>
        <w:t>Exploration Work – Eagle's Nest</w:t>
      </w:r>
    </w:p>
    <w:p w14:paraId="5A9C0097" w14:textId="77777777" w:rsidR="009633AC" w:rsidRPr="00A52F2C" w:rsidRDefault="009633AC" w:rsidP="009633AC">
      <w:pPr>
        <w:pStyle w:val="ProspectusCont2"/>
        <w:rPr>
          <w:rFonts w:eastAsiaTheme="minorHAnsi"/>
        </w:rPr>
      </w:pPr>
      <w:r w:rsidRPr="00A52F2C">
        <w:rPr>
          <w:rFonts w:eastAsiaTheme="minorHAnsi"/>
        </w:rPr>
        <w:t>Results of 2021 sampling at the Eagle's Nest gold target were announced on September 1, 2022. Visible gold was discovered in a quartz boulder, which assayed 10.4 g/t Au. Further prospecting and mapping in outcrop above this area is required to locate the source of the minerali</w:t>
      </w:r>
      <w:r>
        <w:rPr>
          <w:rFonts w:eastAsiaTheme="minorHAnsi"/>
        </w:rPr>
        <w:t>z</w:t>
      </w:r>
      <w:r w:rsidRPr="00A52F2C">
        <w:rPr>
          <w:rFonts w:eastAsiaTheme="minorHAnsi"/>
        </w:rPr>
        <w:t xml:space="preserve">ed boulder. A candidate quartz vein was identified from the air in 2022 but it could not be reached due to low cloud. Visiting and sampling this vein is a priority for future field work at this target.  </w:t>
      </w:r>
      <w:r w:rsidRPr="00A52F2C">
        <w:rPr>
          <w:rFonts w:eastAsiaTheme="minorHAnsi"/>
          <w:lang w:val="is-IS"/>
        </w:rPr>
        <w:t>The Corporation did not conduct extensive field work on the Eagle's Nest target during 2023</w:t>
      </w:r>
      <w:r w:rsidRPr="00A52F2C">
        <w:rPr>
          <w:rFonts w:eastAsiaTheme="minorHAnsi"/>
        </w:rPr>
        <w:t>.</w:t>
      </w:r>
    </w:p>
    <w:p w14:paraId="2DCF8F00" w14:textId="77777777" w:rsidR="009633AC" w:rsidRPr="00A52F2C" w:rsidRDefault="009633AC" w:rsidP="009633AC">
      <w:pPr>
        <w:pStyle w:val="ProspectusL3"/>
        <w:rPr>
          <w:rFonts w:eastAsiaTheme="minorHAnsi"/>
        </w:rPr>
      </w:pPr>
      <w:r w:rsidRPr="00A52F2C">
        <w:rPr>
          <w:rFonts w:eastAsiaTheme="minorHAnsi"/>
        </w:rPr>
        <w:lastRenderedPageBreak/>
        <w:t>Exploration Work – Other Areas</w:t>
      </w:r>
    </w:p>
    <w:p w14:paraId="0EADCD4B" w14:textId="77777777" w:rsidR="009633AC" w:rsidRDefault="009633AC" w:rsidP="009633AC">
      <w:pPr>
        <w:pStyle w:val="ProspectusCont2"/>
        <w:rPr>
          <w:rFonts w:eastAsiaTheme="minorHAnsi"/>
        </w:rPr>
      </w:pPr>
      <w:r w:rsidRPr="00A52F2C">
        <w:rPr>
          <w:rFonts w:eastAsiaTheme="minorHAnsi"/>
        </w:rPr>
        <w:t xml:space="preserve">The 2023 airborne NRG geophysics survey flown at Nanoq/Jokum's Shear/Siku also covered parts of the Anoritooq licence on the north side of Kangerluluk fjord. Initial interpretations suggest that structures which control gold </w:t>
      </w:r>
      <w:r>
        <w:rPr>
          <w:rFonts w:eastAsiaTheme="minorHAnsi"/>
        </w:rPr>
        <w:t>mineralization</w:t>
      </w:r>
      <w:r w:rsidRPr="00A52F2C">
        <w:rPr>
          <w:rFonts w:eastAsiaTheme="minorHAnsi"/>
        </w:rPr>
        <w:t xml:space="preserve"> at the Nanoq target extend across the fjord into the Anoritooq licence.</w:t>
      </w:r>
    </w:p>
    <w:p w14:paraId="3CA96500" w14:textId="77777777" w:rsidR="009633AC" w:rsidRPr="00A52F2C" w:rsidRDefault="009633AC" w:rsidP="009633AC">
      <w:pPr>
        <w:pStyle w:val="ProspectusCont2"/>
        <w:rPr>
          <w:rFonts w:eastAsiaTheme="minorHAnsi"/>
          <w:lang w:val="en-GB" w:eastAsia="is-IS"/>
        </w:rPr>
      </w:pPr>
      <w:r w:rsidRPr="00A52F2C">
        <w:rPr>
          <w:rFonts w:eastAsiaTheme="minorHAnsi"/>
          <w:lang w:val="en-GB" w:eastAsia="is-IS"/>
        </w:rPr>
        <w:t xml:space="preserve">In 2022 the Corporation conducted an initial reconnaissance visit to the Lichtenau appinite (gabbroic) intrusion located 5km north of the town of Alluitsup Paa to undertake a review of the strong magnetic anomaly. Abundant magnetite was observed in outcrop which may explain the anomaly, but the South Greenland appinite suite is also being assessed by the Corporation's geology team for its potential to host magmatic sulphide and V-Ti </w:t>
      </w:r>
      <w:r>
        <w:rPr>
          <w:rFonts w:eastAsiaTheme="minorHAnsi"/>
          <w:lang w:val="en-GB" w:eastAsia="is-IS"/>
        </w:rPr>
        <w:t>mineralization</w:t>
      </w:r>
      <w:r w:rsidRPr="00A52F2C">
        <w:rPr>
          <w:rFonts w:eastAsiaTheme="minorHAnsi"/>
          <w:lang w:val="en-GB" w:eastAsia="is-IS"/>
        </w:rPr>
        <w:t>.</w:t>
      </w:r>
    </w:p>
    <w:p w14:paraId="49949807" w14:textId="77777777" w:rsidR="009633AC" w:rsidRPr="00A52F2C" w:rsidRDefault="009633AC" w:rsidP="009633AC">
      <w:pPr>
        <w:pStyle w:val="ProspectusL2"/>
        <w:rPr>
          <w:rFonts w:eastAsiaTheme="minorHAnsi"/>
          <w:lang w:val="sv-SE"/>
        </w:rPr>
      </w:pPr>
      <w:r w:rsidRPr="00A52F2C">
        <w:rPr>
          <w:rFonts w:eastAsiaTheme="minorHAnsi"/>
        </w:rPr>
        <w:t>Siku</w:t>
      </w:r>
    </w:p>
    <w:p w14:paraId="64991504" w14:textId="77777777" w:rsidR="009633AC" w:rsidRPr="00A52F2C" w:rsidRDefault="009633AC" w:rsidP="009633AC">
      <w:pPr>
        <w:pStyle w:val="ProspectusL3"/>
        <w:rPr>
          <w:rFonts w:eastAsiaTheme="minorHAnsi"/>
        </w:rPr>
      </w:pPr>
      <w:r w:rsidRPr="00A52F2C">
        <w:rPr>
          <w:rFonts w:eastAsiaTheme="minorHAnsi"/>
        </w:rPr>
        <w:t>Property Description</w:t>
      </w:r>
    </w:p>
    <w:p w14:paraId="5FC81770" w14:textId="77777777" w:rsidR="009633AC" w:rsidRPr="00A52F2C" w:rsidRDefault="009633AC" w:rsidP="009633AC">
      <w:pPr>
        <w:pStyle w:val="ProspectusCont2"/>
        <w:rPr>
          <w:rFonts w:eastAsiaTheme="minorHAnsi"/>
        </w:rPr>
      </w:pPr>
      <w:r w:rsidRPr="00A52F2C">
        <w:rPr>
          <w:rFonts w:eastAsiaTheme="minorHAnsi"/>
        </w:rPr>
        <w:t>The Corporation acquired the exclusive right to conduct exploration activities on approximately</w:t>
      </w:r>
      <w:r>
        <w:rPr>
          <w:rFonts w:eastAsiaTheme="minorHAnsi"/>
        </w:rPr>
        <w:t xml:space="preserve"> </w:t>
      </w:r>
      <w:r w:rsidRPr="00A52F2C">
        <w:rPr>
          <w:rFonts w:eastAsiaTheme="minorHAnsi"/>
        </w:rPr>
        <w:t>251 km</w:t>
      </w:r>
      <w:r w:rsidRPr="00A52F2C">
        <w:rPr>
          <w:rFonts w:eastAsiaTheme="minorHAnsi"/>
          <w:vertAlign w:val="superscript"/>
        </w:rPr>
        <w:t>2</w:t>
      </w:r>
      <w:r w:rsidRPr="00A52F2C">
        <w:rPr>
          <w:rFonts w:eastAsiaTheme="minorHAnsi"/>
        </w:rPr>
        <w:t xml:space="preserve"> of land located between both Nanoq and Jokum's shear. The exploration rights have been granted to the Corporation under a new separate Exploration Licence 2022/08 Nataarnaq (also known as Siku) </w:t>
      </w:r>
      <w:r>
        <w:rPr>
          <w:rFonts w:eastAsiaTheme="minorHAnsi"/>
        </w:rPr>
        <w:t>and it</w:t>
      </w:r>
      <w:r w:rsidRPr="00A52F2C">
        <w:rPr>
          <w:rFonts w:eastAsiaTheme="minorHAnsi"/>
        </w:rPr>
        <w:t xml:space="preserve"> </w:t>
      </w:r>
      <w:r>
        <w:rPr>
          <w:rFonts w:eastAsiaTheme="minorHAnsi"/>
        </w:rPr>
        <w:t xml:space="preserve">has </w:t>
      </w:r>
      <w:r w:rsidRPr="00A52F2C">
        <w:rPr>
          <w:rFonts w:eastAsiaTheme="minorHAnsi"/>
        </w:rPr>
        <w:t xml:space="preserve">an expiry date of December 31, 2026. The licence application has been approved and all required documentation was signed by the Corporation on May 10, 2022, and the licence became effective on June 2, 2022 when it was signed by the Government of Greenland. </w:t>
      </w:r>
    </w:p>
    <w:p w14:paraId="1A380D7D" w14:textId="77777777" w:rsidR="009633AC" w:rsidRPr="00A52F2C" w:rsidRDefault="009633AC" w:rsidP="009633AC">
      <w:pPr>
        <w:pStyle w:val="ProspectusL3"/>
        <w:rPr>
          <w:rFonts w:eastAsiaTheme="minorHAnsi"/>
        </w:rPr>
      </w:pPr>
      <w:r w:rsidRPr="00A52F2C">
        <w:rPr>
          <w:rFonts w:eastAsiaTheme="minorHAnsi"/>
        </w:rPr>
        <w:t>Exploration Work</w:t>
      </w:r>
    </w:p>
    <w:p w14:paraId="736A3A2A" w14:textId="77777777" w:rsidR="009633AC" w:rsidRPr="00A52F2C" w:rsidRDefault="009633AC" w:rsidP="009633AC">
      <w:pPr>
        <w:pStyle w:val="ProspectusCont2"/>
        <w:rPr>
          <w:rFonts w:eastAsiaTheme="minorHAnsi"/>
        </w:rPr>
      </w:pPr>
      <w:r w:rsidRPr="00A52F2C">
        <w:rPr>
          <w:rFonts w:eastAsiaTheme="minorHAnsi"/>
        </w:rPr>
        <w:t>The Siku licence was covered by the same geophysical exploration programme as that conducted across Nanoq and Jokum's Shear in 2022. This programme and the subsequent interpretation work conducted by ALS Goldspot in 2023 have confirmed the existence of two structural corridors linking the gold targets at Nanoq and Jokum Shear providing a 25km long exploration target zone.</w:t>
      </w:r>
    </w:p>
    <w:p w14:paraId="4D466195" w14:textId="77777777" w:rsidR="009633AC" w:rsidRPr="00A52F2C" w:rsidRDefault="009633AC" w:rsidP="009633AC">
      <w:pPr>
        <w:pStyle w:val="ProspectusL2"/>
        <w:rPr>
          <w:rFonts w:eastAsiaTheme="minorHAnsi"/>
        </w:rPr>
      </w:pPr>
      <w:r w:rsidRPr="00A52F2C">
        <w:rPr>
          <w:rFonts w:eastAsiaTheme="minorHAnsi"/>
        </w:rPr>
        <w:t>Saarloq</w:t>
      </w:r>
    </w:p>
    <w:p w14:paraId="201A6294" w14:textId="77777777" w:rsidR="009633AC" w:rsidRPr="00A52F2C" w:rsidRDefault="009633AC" w:rsidP="009633AC">
      <w:pPr>
        <w:pStyle w:val="ProspectusL3"/>
        <w:rPr>
          <w:rFonts w:eastAsiaTheme="minorHAnsi"/>
        </w:rPr>
      </w:pPr>
      <w:r w:rsidRPr="00A52F2C">
        <w:rPr>
          <w:rFonts w:eastAsiaTheme="minorHAnsi"/>
        </w:rPr>
        <w:t>Property Description</w:t>
      </w:r>
    </w:p>
    <w:p w14:paraId="2F448C40" w14:textId="77777777" w:rsidR="009633AC" w:rsidRPr="00A52F2C" w:rsidRDefault="009633AC" w:rsidP="009633AC">
      <w:pPr>
        <w:pStyle w:val="ProspectusCont2"/>
        <w:rPr>
          <w:rFonts w:eastAsiaTheme="minorHAnsi"/>
        </w:rPr>
      </w:pPr>
      <w:r w:rsidRPr="00A52F2C">
        <w:rPr>
          <w:rFonts w:eastAsiaTheme="minorHAnsi"/>
        </w:rPr>
        <w:t>The Corporation has acquired the right to conduct exploration activities on approximately  63.91 km</w:t>
      </w:r>
      <w:r w:rsidRPr="00A52F2C">
        <w:rPr>
          <w:rFonts w:eastAsiaTheme="minorHAnsi"/>
          <w:vertAlign w:val="superscript"/>
        </w:rPr>
        <w:t>2</w:t>
      </w:r>
      <w:r w:rsidRPr="00A52F2C">
        <w:rPr>
          <w:rFonts w:eastAsiaTheme="minorHAnsi"/>
        </w:rPr>
        <w:t xml:space="preserve"> of land in areas of Quassugaarsuk and Sermeq Kangilleq in South Greenland. The exploration rights have been granted to the Corporation under a new separate Exploration Licence 2020/31, referred to as Saarloq. The licence application has been approved and all required documentation were signed by the Corporation on May 15, 2020, and the licence became effective on May 28, 2020 when it was signed by the Government of Greenland. In March 2023, the Corporation was granted an addendum to the Saarloq licence, accepting the transfer of the License from Nalunaq A/S to Gardaq A/S and this addendum became effective on March 23, 2023 when it was signed by the Government of Greenland. This license transfer was made as part of the joint venture agreement between the Corporation and ACAM. The licence was originally set to expire on December 31, 2024, with a possible 5-year extension. In response to the COVID-19 pandemic, the Government of Greenland gave an extension of the licence period for all exploration licences by two years, therefore the licence expires December 31, 2026.</w:t>
      </w:r>
    </w:p>
    <w:p w14:paraId="73C54DD6" w14:textId="77777777" w:rsidR="009633AC" w:rsidRPr="00A52F2C" w:rsidRDefault="009633AC" w:rsidP="009633AC">
      <w:pPr>
        <w:pStyle w:val="ProspectusL3"/>
        <w:rPr>
          <w:rFonts w:eastAsiaTheme="minorHAnsi"/>
        </w:rPr>
      </w:pPr>
      <w:r w:rsidRPr="00A52F2C">
        <w:rPr>
          <w:rFonts w:eastAsiaTheme="minorHAnsi"/>
        </w:rPr>
        <w:t>Exploration Work</w:t>
      </w:r>
    </w:p>
    <w:p w14:paraId="7347FBBB" w14:textId="77777777" w:rsidR="009633AC" w:rsidRPr="00A52F2C" w:rsidRDefault="009633AC" w:rsidP="009633AC">
      <w:pPr>
        <w:pStyle w:val="ProspectusCont2"/>
        <w:rPr>
          <w:rFonts w:eastAsiaTheme="minorHAnsi"/>
        </w:rPr>
      </w:pPr>
      <w:r w:rsidRPr="00A52F2C">
        <w:rPr>
          <w:rFonts w:eastAsiaTheme="minorHAnsi"/>
        </w:rPr>
        <w:t>Through 2022 Amaroq continued its desk-based studies on the prospectivity and exploration objectives. No field-based exploration took place during the 2023 field season. Desktop work is ongoing as part of Amaroq's mineral system modelling. No fieldwork is planned in the licence in 2024.</w:t>
      </w:r>
    </w:p>
    <w:p w14:paraId="2B9131D7" w14:textId="77777777" w:rsidR="009633AC" w:rsidRPr="00A52F2C" w:rsidRDefault="009633AC" w:rsidP="009633AC">
      <w:pPr>
        <w:pStyle w:val="ProspectusL2"/>
        <w:rPr>
          <w:rFonts w:eastAsiaTheme="minorHAnsi"/>
        </w:rPr>
      </w:pPr>
      <w:r w:rsidRPr="00A52F2C">
        <w:rPr>
          <w:rFonts w:eastAsiaTheme="minorHAnsi"/>
        </w:rPr>
        <w:t>Sava</w:t>
      </w:r>
    </w:p>
    <w:p w14:paraId="7C31D726" w14:textId="77777777" w:rsidR="009633AC" w:rsidRPr="00A52F2C" w:rsidRDefault="009633AC" w:rsidP="009633AC">
      <w:pPr>
        <w:pStyle w:val="ProspectusL3"/>
        <w:rPr>
          <w:rFonts w:eastAsiaTheme="minorHAnsi"/>
        </w:rPr>
      </w:pPr>
      <w:r w:rsidRPr="00A52F2C">
        <w:rPr>
          <w:rFonts w:eastAsiaTheme="minorHAnsi"/>
        </w:rPr>
        <w:t>Property Description</w:t>
      </w:r>
    </w:p>
    <w:p w14:paraId="1F17C90A" w14:textId="77777777" w:rsidR="009633AC" w:rsidRPr="00A52F2C" w:rsidRDefault="009633AC" w:rsidP="009633AC">
      <w:pPr>
        <w:pStyle w:val="ProspectusCont2"/>
        <w:rPr>
          <w:rFonts w:eastAsiaTheme="minorHAnsi"/>
        </w:rPr>
      </w:pPr>
      <w:r w:rsidRPr="00A52F2C">
        <w:rPr>
          <w:rFonts w:eastAsiaTheme="minorHAnsi"/>
        </w:rPr>
        <w:t>The Corporation acquired the exclusive right to conduct exploration activities on approximately 335km</w:t>
      </w:r>
      <w:r w:rsidRPr="00A52F2C">
        <w:rPr>
          <w:rFonts w:eastAsiaTheme="minorHAnsi"/>
          <w:vertAlign w:val="superscript"/>
        </w:rPr>
        <w:t>2</w:t>
      </w:r>
      <w:r w:rsidRPr="00A52F2C">
        <w:rPr>
          <w:rFonts w:eastAsiaTheme="minorHAnsi"/>
        </w:rPr>
        <w:t xml:space="preserve"> of land in the area of Eqaluit Iluat in South Greenland. The exploration rights have been granted to the Corporation under a new </w:t>
      </w:r>
      <w:r w:rsidRPr="00A52F2C">
        <w:rPr>
          <w:rFonts w:eastAsiaTheme="minorHAnsi"/>
        </w:rPr>
        <w:lastRenderedPageBreak/>
        <w:t>separate Exploration Licence 2021/02, referred to as Sava. The licence application has been approved and all required documentation was signed by the Corporation on October 13, 2020 and the licence became effective on November 6, 2020 when it was signed by the Government of Greenland. In March 2023, the Corporation was granted an addendum to the Sava licence, accepting the transfer of the License from Nalunaq A/S to Gardaq A/S and this addendum became effective on March 23, 2023 when it was signed by the Government of Greenland. This license transfer was made as part of the joint venture agreement between the Corporation and ACAM. The licence was originally set to expire on December 31, 2025 with a possible 5-year extension. In response to the COVID-19 pandemic, the Government of Greenland gave in December 2020, an extension of the licence period by one year, therefore the licence expires December 31, 2026. At this point the Corporation can apply for an extension to the exploration licence.</w:t>
      </w:r>
    </w:p>
    <w:p w14:paraId="6E883E66" w14:textId="77777777" w:rsidR="009633AC" w:rsidRPr="00A52F2C" w:rsidRDefault="009633AC" w:rsidP="009633AC">
      <w:pPr>
        <w:pStyle w:val="ProspectusL3"/>
        <w:rPr>
          <w:rFonts w:eastAsiaTheme="minorHAnsi"/>
        </w:rPr>
      </w:pPr>
      <w:r w:rsidRPr="00A52F2C">
        <w:rPr>
          <w:rFonts w:eastAsiaTheme="minorHAnsi"/>
        </w:rPr>
        <w:t>Exploration Work</w:t>
      </w:r>
    </w:p>
    <w:p w14:paraId="7BCED0FA" w14:textId="77777777" w:rsidR="009633AC" w:rsidRDefault="009633AC" w:rsidP="009633AC">
      <w:pPr>
        <w:pStyle w:val="ProspectusCont2"/>
        <w:rPr>
          <w:rFonts w:eastAsiaTheme="minorHAnsi"/>
        </w:rPr>
      </w:pPr>
      <w:r w:rsidRPr="00A52F2C">
        <w:rPr>
          <w:rFonts w:eastAsiaTheme="minorHAnsi"/>
        </w:rPr>
        <w:t>Following an exploration programme in 2021 which identified at least three key target areas in geophysical and surface geochemical exploration, 2022 was focused on conducting initial scout drilling on two of these targets (Target West and Target South). A total of around 320m of core drilling was completed (2 drillhole scout drilling program across two target areas along with associated mapping and sampling across the licence). The aim for this drilling was to signature the observed surface exploration at depth. The results of this program which included the intersection of 21m of elevated copper from surface, grab samples up to 7.86% molybdenum, the identification of a kilometre scale breccia zone grading up to 0.46% copper (Cu), 4.35g/t gold (Au) and 40.9g/t silver (Ag), has been interpreted as being part of a larger iron oxide, copper, gold ("</w:t>
      </w:r>
      <w:r w:rsidRPr="00A52F2C">
        <w:rPr>
          <w:rFonts w:eastAsiaTheme="minorHAnsi"/>
          <w:b/>
          <w:bCs/>
        </w:rPr>
        <w:t>IOCG</w:t>
      </w:r>
      <w:r w:rsidRPr="00A52F2C">
        <w:rPr>
          <w:rFonts w:eastAsiaTheme="minorHAnsi"/>
        </w:rPr>
        <w:t>") mineral system.</w:t>
      </w:r>
    </w:p>
    <w:p w14:paraId="483405D3" w14:textId="77777777" w:rsidR="009633AC" w:rsidRDefault="009633AC" w:rsidP="009633AC">
      <w:pPr>
        <w:pStyle w:val="ProspectusCont2"/>
        <w:rPr>
          <w:rFonts w:eastAsiaTheme="minorHAnsi"/>
          <w:lang w:val="en-GB" w:eastAsia="is-IS"/>
        </w:rPr>
      </w:pPr>
      <w:r w:rsidRPr="00A52F2C">
        <w:rPr>
          <w:rFonts w:eastAsiaTheme="minorHAnsi"/>
          <w:lang w:val="en-GB" w:eastAsia="is-IS"/>
        </w:rPr>
        <w:t xml:space="preserve">Results of the 2022 drilling and surface sampling programmes were announced on November 23, 2022. One hole drilled at Target West intersected 21 metres of continuous low-grade copper sulphide </w:t>
      </w:r>
      <w:r>
        <w:rPr>
          <w:rFonts w:eastAsiaTheme="minorHAnsi"/>
          <w:lang w:val="en-GB" w:eastAsia="is-IS"/>
        </w:rPr>
        <w:t>mineralization</w:t>
      </w:r>
      <w:r w:rsidRPr="00A52F2C">
        <w:rPr>
          <w:rFonts w:eastAsiaTheme="minorHAnsi"/>
          <w:lang w:val="en-GB" w:eastAsia="is-IS"/>
        </w:rPr>
        <w:t xml:space="preserve"> from surface. Surface sampling around Target West returned anomalous grades of copper and high grades of molybdenum in quartz veins and altered granites, up to 7.8% Mo. Molybdenite in quartz veins was dated and placed at the end of the Ketilidian orogeny, an important time period for ore formation. Results suggest the potential for a large IOCG or copper porphyry mineral system. Veining and brecciation located in the north of the licence may be related to a different geological event responsible for the large rare earth element deposit known in the area.</w:t>
      </w:r>
    </w:p>
    <w:p w14:paraId="0ED04500" w14:textId="77777777" w:rsidR="009633AC" w:rsidRDefault="009633AC" w:rsidP="009633AC">
      <w:pPr>
        <w:pStyle w:val="ProspectusCont2"/>
        <w:rPr>
          <w:rFonts w:eastAsiaTheme="minorHAnsi"/>
          <w:lang w:val="en-GB" w:eastAsia="is-IS"/>
        </w:rPr>
      </w:pPr>
      <w:r w:rsidRPr="00A52F2C">
        <w:rPr>
          <w:rFonts w:eastAsiaTheme="minorHAnsi"/>
          <w:lang w:val="en-GB" w:eastAsia="is-IS"/>
        </w:rPr>
        <w:t xml:space="preserve">All targets identified to date are open and require additional investigation but appear to have the geochemical and alteration signatures akin to IOCG or porphyry style </w:t>
      </w:r>
      <w:r>
        <w:rPr>
          <w:rFonts w:eastAsiaTheme="minorHAnsi"/>
          <w:lang w:val="en-GB" w:eastAsia="is-IS"/>
        </w:rPr>
        <w:t>mineralization</w:t>
      </w:r>
      <w:r w:rsidRPr="00A52F2C">
        <w:rPr>
          <w:rFonts w:eastAsiaTheme="minorHAnsi"/>
          <w:lang w:val="en-GB" w:eastAsia="is-IS"/>
        </w:rPr>
        <w:t>. The Corporation's regional mineral system modelling also suggests that these occurrences may be related to similar deposits both in Canada and Scandinavia. Project data has been provided to consultants at</w:t>
      </w:r>
      <w:r w:rsidRPr="00A52F2C">
        <w:rPr>
          <w:rFonts w:eastAsiaTheme="minorHAnsi"/>
          <w:lang w:val="is-IS" w:eastAsia="is-IS"/>
        </w:rPr>
        <w:t xml:space="preserve"> </w:t>
      </w:r>
      <w:r w:rsidRPr="00A52F2C">
        <w:rPr>
          <w:rFonts w:eastAsiaTheme="minorHAnsi"/>
          <w:lang w:val="en-GB" w:eastAsia="is-IS"/>
        </w:rPr>
        <w:t>SRK Consulting Australasia Pty Ltd. with expertise in IOCG mineral systems.</w:t>
      </w:r>
    </w:p>
    <w:p w14:paraId="66F3C034" w14:textId="77777777" w:rsidR="009633AC" w:rsidRDefault="009633AC" w:rsidP="009633AC">
      <w:pPr>
        <w:pStyle w:val="ProspectusCont2"/>
        <w:rPr>
          <w:rFonts w:eastAsiaTheme="minorHAnsi"/>
          <w:lang w:val="en-GB" w:eastAsia="is-IS"/>
        </w:rPr>
      </w:pPr>
      <w:r w:rsidRPr="00A52F2C">
        <w:rPr>
          <w:rFonts w:eastAsiaTheme="minorHAnsi"/>
          <w:lang w:val="en-GB" w:eastAsia="is-IS"/>
        </w:rPr>
        <w:t>SRK Exploration Services carried out a spectral remote sensing study of the areas north and east of Sava in 2022, which resulted in the identification of a further 33 IOCG and porphyry target areas across the expanding mineral belt.</w:t>
      </w:r>
    </w:p>
    <w:p w14:paraId="3021755D" w14:textId="77777777" w:rsidR="009633AC" w:rsidRPr="00A52F2C" w:rsidRDefault="009633AC" w:rsidP="009633AC">
      <w:pPr>
        <w:pStyle w:val="ProspectusCont2"/>
        <w:rPr>
          <w:rFonts w:eastAsiaTheme="minorHAnsi"/>
          <w:lang w:val="en-GB" w:eastAsia="is-IS"/>
        </w:rPr>
      </w:pPr>
      <w:r w:rsidRPr="00A52F2C">
        <w:rPr>
          <w:rFonts w:eastAsiaTheme="minorHAnsi"/>
          <w:lang w:val="en-GB" w:eastAsia="is-IS"/>
        </w:rPr>
        <w:t>In 2023, Amaroq conducted surface drilling, geological mapping and channel sampling across two targets (Target West and Target North). The aim of this programme was to build on the results of drilling in 2022 and to develop an emerging copper molybdenum porphyry-style project at Target West.</w:t>
      </w:r>
    </w:p>
    <w:p w14:paraId="0EA04EE6" w14:textId="77777777" w:rsidR="009633AC" w:rsidRPr="00A52F2C" w:rsidRDefault="009633AC" w:rsidP="009633AC">
      <w:pPr>
        <w:pStyle w:val="ProspectusL3"/>
        <w:rPr>
          <w:rFonts w:eastAsiaTheme="minorHAnsi"/>
        </w:rPr>
      </w:pPr>
      <w:r w:rsidRPr="00A52F2C">
        <w:rPr>
          <w:rFonts w:eastAsiaTheme="minorHAnsi"/>
        </w:rPr>
        <w:t>Target West</w:t>
      </w:r>
    </w:p>
    <w:p w14:paraId="36FF866D" w14:textId="77777777" w:rsidR="009633AC" w:rsidRDefault="009633AC" w:rsidP="009633AC">
      <w:pPr>
        <w:pStyle w:val="ProspectusCont3"/>
        <w:rPr>
          <w:rFonts w:eastAsiaTheme="minorHAnsi"/>
        </w:rPr>
      </w:pPr>
      <w:r w:rsidRPr="00A52F2C">
        <w:rPr>
          <w:rFonts w:eastAsiaTheme="minorHAnsi"/>
        </w:rPr>
        <w:t xml:space="preserve">Hosting copper and molybdenum </w:t>
      </w:r>
      <w:r>
        <w:rPr>
          <w:rFonts w:eastAsiaTheme="minorHAnsi"/>
        </w:rPr>
        <w:t>mineralization</w:t>
      </w:r>
      <w:r w:rsidRPr="00A52F2C">
        <w:rPr>
          <w:rFonts w:eastAsiaTheme="minorHAnsi"/>
        </w:rPr>
        <w:t xml:space="preserve"> was observed during the 2022 season, and this target area was the primary focus of the 2023 season. Porphyry-style quartz veining with associated copper sulphide </w:t>
      </w:r>
      <w:r>
        <w:rPr>
          <w:rFonts w:eastAsiaTheme="minorHAnsi"/>
        </w:rPr>
        <w:t>mineralization</w:t>
      </w:r>
      <w:r w:rsidRPr="00A52F2C">
        <w:rPr>
          <w:rFonts w:eastAsiaTheme="minorHAnsi"/>
        </w:rPr>
        <w:t xml:space="preserve"> was encountered in holes SAV2301, SAV2302 and SAV2304.</w:t>
      </w:r>
    </w:p>
    <w:p w14:paraId="03D4D845" w14:textId="77777777" w:rsidR="009633AC" w:rsidRPr="00A52F2C" w:rsidRDefault="009633AC" w:rsidP="009633AC">
      <w:pPr>
        <w:pStyle w:val="ProspectusCont3"/>
        <w:rPr>
          <w:rFonts w:eastAsiaTheme="minorHAnsi"/>
          <w:lang w:val="en-GB" w:eastAsia="is-IS"/>
        </w:rPr>
      </w:pPr>
      <w:r>
        <w:rPr>
          <w:rFonts w:eastAsiaTheme="minorHAnsi"/>
          <w:lang w:val="en-GB" w:eastAsia="is-IS"/>
        </w:rPr>
        <w:t>Mineralization</w:t>
      </w:r>
      <w:r w:rsidRPr="00A52F2C">
        <w:rPr>
          <w:rFonts w:eastAsiaTheme="minorHAnsi"/>
          <w:lang w:val="en-GB" w:eastAsia="is-IS"/>
        </w:rPr>
        <w:t xml:space="preserve"> appears to be hosted within quartz veining orientated WNW-ESE to NW-SE. Samples as high as 7.8% Mo have been recorded so far. 16.39m of channel sampling was carried out in areas of high vein density and surface copper </w:t>
      </w:r>
      <w:r>
        <w:rPr>
          <w:rFonts w:eastAsiaTheme="minorHAnsi"/>
          <w:lang w:val="en-GB" w:eastAsia="is-IS"/>
        </w:rPr>
        <w:t>mineralization</w:t>
      </w:r>
      <w:r w:rsidRPr="00A52F2C">
        <w:rPr>
          <w:rFonts w:eastAsiaTheme="minorHAnsi"/>
          <w:lang w:val="en-GB" w:eastAsia="is-IS"/>
        </w:rPr>
        <w:t xml:space="preserve"> and results are pending.</w:t>
      </w:r>
    </w:p>
    <w:p w14:paraId="17798C49" w14:textId="77777777" w:rsidR="009633AC" w:rsidRPr="00A52F2C" w:rsidRDefault="009633AC" w:rsidP="009633AC">
      <w:pPr>
        <w:pStyle w:val="ProspectusL3"/>
        <w:rPr>
          <w:rFonts w:eastAsiaTheme="minorHAnsi"/>
        </w:rPr>
      </w:pPr>
      <w:r w:rsidRPr="00A52F2C">
        <w:rPr>
          <w:rFonts w:eastAsiaTheme="minorHAnsi"/>
        </w:rPr>
        <w:t>Target North</w:t>
      </w:r>
    </w:p>
    <w:p w14:paraId="2D078F5B" w14:textId="77777777" w:rsidR="009633AC" w:rsidRPr="00A52F2C" w:rsidRDefault="009633AC" w:rsidP="009633AC">
      <w:pPr>
        <w:pStyle w:val="ProspectusCont3"/>
        <w:rPr>
          <w:rFonts w:eastAsiaTheme="minorHAnsi"/>
        </w:rPr>
      </w:pPr>
      <w:r w:rsidRPr="00A52F2C">
        <w:rPr>
          <w:rFonts w:eastAsiaTheme="minorHAnsi"/>
        </w:rPr>
        <w:t xml:space="preserve">Geological mapping across this target area revealed a roughly 2km long significantly hydrothermally altered fault system up to 400m wide exhibiting potassic alteration and trace rusty sulphide </w:t>
      </w:r>
      <w:r>
        <w:rPr>
          <w:rFonts w:eastAsiaTheme="minorHAnsi"/>
        </w:rPr>
        <w:t>mineralization.</w:t>
      </w:r>
    </w:p>
    <w:p w14:paraId="161370CD" w14:textId="77777777" w:rsidR="009633AC" w:rsidRPr="00A52F2C" w:rsidRDefault="009633AC" w:rsidP="009633AC">
      <w:pPr>
        <w:pStyle w:val="ProspectusL3"/>
        <w:rPr>
          <w:rFonts w:eastAsiaTheme="minorHAnsi"/>
        </w:rPr>
      </w:pPr>
      <w:r w:rsidRPr="00A52F2C">
        <w:rPr>
          <w:rFonts w:eastAsiaTheme="minorHAnsi"/>
        </w:rPr>
        <w:lastRenderedPageBreak/>
        <w:t>Sava Exploration Plans</w:t>
      </w:r>
    </w:p>
    <w:p w14:paraId="02DB1AAE" w14:textId="77777777" w:rsidR="009633AC" w:rsidRDefault="009633AC" w:rsidP="009633AC">
      <w:pPr>
        <w:pStyle w:val="ProspectusCont2"/>
        <w:rPr>
          <w:rFonts w:eastAsiaTheme="minorHAnsi"/>
        </w:rPr>
      </w:pPr>
      <w:r w:rsidRPr="00A52F2C">
        <w:rPr>
          <w:rFonts w:eastAsiaTheme="minorHAnsi"/>
        </w:rPr>
        <w:t>The 2023 field season at Sava commenced on June 26, 2023 with surface mapping and an assessment by an independent IOCG specialist on the two current targets (Target West and Target North) as well as other newly defined targets.</w:t>
      </w:r>
    </w:p>
    <w:p w14:paraId="2A9B2D26" w14:textId="2DFE2070" w:rsidR="009633AC" w:rsidRDefault="009633AC" w:rsidP="009633AC">
      <w:pPr>
        <w:pStyle w:val="ProspectusCont2"/>
        <w:rPr>
          <w:rFonts w:eastAsia="Arial"/>
          <w:color w:val="242424"/>
          <w:lang w:val="en-GB" w:eastAsia="is-IS"/>
        </w:rPr>
      </w:pPr>
      <w:r w:rsidRPr="005E6A1A">
        <w:rPr>
          <w:rFonts w:eastAsia="Arial"/>
          <w:color w:val="242424"/>
          <w:lang w:val="en-GB" w:eastAsia="is-IS"/>
        </w:rPr>
        <w:t>Scout drilling is currently underway and additional exploration has identified further targets across the copper belt with the assistance of external porphyry and IOCG specialists. Scout drilling continued through Q3</w:t>
      </w:r>
      <w:r w:rsidR="006E40A0">
        <w:rPr>
          <w:rFonts w:eastAsia="Arial"/>
          <w:color w:val="242424"/>
          <w:lang w:val="en-GB" w:eastAsia="is-IS"/>
        </w:rPr>
        <w:t xml:space="preserve"> 2023</w:t>
      </w:r>
      <w:r w:rsidRPr="005E6A1A">
        <w:rPr>
          <w:rFonts w:eastAsia="Arial"/>
          <w:color w:val="242424"/>
          <w:lang w:val="en-GB" w:eastAsia="is-IS"/>
        </w:rPr>
        <w:t xml:space="preserve"> with results announced in Q1 2024. Drilling</w:t>
      </w:r>
      <w:r w:rsidRPr="00D27840">
        <w:rPr>
          <w:rFonts w:eastAsia="Arial"/>
          <w:color w:val="242424"/>
          <w:lang w:val="en-GB" w:eastAsia="is-IS"/>
        </w:rPr>
        <w:t xml:space="preserve"> at Target West is targeting porphyry style </w:t>
      </w:r>
      <w:r>
        <w:rPr>
          <w:rFonts w:eastAsia="Arial"/>
          <w:color w:val="242424"/>
          <w:lang w:val="en-GB" w:eastAsia="is-IS"/>
        </w:rPr>
        <w:t>mineralization</w:t>
      </w:r>
      <w:r w:rsidRPr="00D27840">
        <w:rPr>
          <w:rFonts w:eastAsia="Arial"/>
          <w:color w:val="242424"/>
          <w:lang w:val="en-GB" w:eastAsia="is-IS"/>
        </w:rPr>
        <w:t xml:space="preserve"> with ore grade Cu and Mo encountered during 2022. Drilling at Target West is targeting a</w:t>
      </w:r>
      <w:r>
        <w:rPr>
          <w:rFonts w:eastAsia="Arial"/>
          <w:color w:val="242424"/>
          <w:lang w:val="en-GB" w:eastAsia="is-IS"/>
        </w:rPr>
        <w:t xml:space="preserve">n approximately </w:t>
      </w:r>
      <w:r w:rsidRPr="00D27840">
        <w:rPr>
          <w:rFonts w:eastAsia="Arial"/>
          <w:color w:val="242424"/>
          <w:lang w:val="en-GB" w:eastAsia="is-IS"/>
        </w:rPr>
        <w:t xml:space="preserve">2km long strike of epithermal style </w:t>
      </w:r>
      <w:r>
        <w:rPr>
          <w:rFonts w:eastAsia="Arial"/>
          <w:color w:val="242424"/>
          <w:lang w:val="en-GB" w:eastAsia="is-IS"/>
        </w:rPr>
        <w:t>mineralization</w:t>
      </w:r>
      <w:r w:rsidRPr="00D27840">
        <w:rPr>
          <w:rFonts w:eastAsia="Arial"/>
          <w:color w:val="242424"/>
          <w:lang w:val="en-GB" w:eastAsia="is-IS"/>
        </w:rPr>
        <w:t xml:space="preserve"> hosting Cu/Au results from 2022. In addition, the </w:t>
      </w:r>
      <w:r>
        <w:rPr>
          <w:rFonts w:eastAsia="Arial"/>
          <w:lang w:val="en-GB" w:eastAsia="is-IS"/>
        </w:rPr>
        <w:t>Corporation</w:t>
      </w:r>
      <w:r w:rsidRPr="00D27840">
        <w:rPr>
          <w:rFonts w:eastAsia="Arial"/>
          <w:b/>
          <w:bCs/>
          <w:lang w:val="en-GB" w:eastAsia="is-IS"/>
        </w:rPr>
        <w:t xml:space="preserve"> </w:t>
      </w:r>
      <w:r w:rsidRPr="00D27840">
        <w:rPr>
          <w:rFonts w:eastAsia="Arial"/>
          <w:color w:val="242424"/>
          <w:lang w:val="en-GB" w:eastAsia="is-IS"/>
        </w:rPr>
        <w:t xml:space="preserve">plans to conduct a </w:t>
      </w:r>
      <w:r>
        <w:rPr>
          <w:rFonts w:eastAsia="Arial"/>
          <w:color w:val="242424"/>
          <w:lang w:val="en-GB" w:eastAsia="is-IS"/>
        </w:rPr>
        <w:t>g</w:t>
      </w:r>
      <w:r w:rsidRPr="00D27840">
        <w:rPr>
          <w:rFonts w:eastAsia="Arial"/>
          <w:color w:val="242424"/>
          <w:lang w:val="en-GB" w:eastAsia="is-IS"/>
        </w:rPr>
        <w:t>ravity geophysical survey over the Sava licence area to ensure full coverage of the prospective copper belt.</w:t>
      </w:r>
    </w:p>
    <w:p w14:paraId="1E1FDD88" w14:textId="77777777" w:rsidR="009633AC" w:rsidRPr="00A52F2C" w:rsidRDefault="009633AC" w:rsidP="009633AC">
      <w:pPr>
        <w:pStyle w:val="ProspectusL3"/>
        <w:rPr>
          <w:rFonts w:eastAsiaTheme="minorHAnsi"/>
        </w:rPr>
      </w:pPr>
      <w:r w:rsidRPr="00A52F2C">
        <w:rPr>
          <w:rFonts w:eastAsiaTheme="minorHAnsi"/>
        </w:rPr>
        <w:t>Preliminary Scope of Work for the 2024 field season</w:t>
      </w:r>
    </w:p>
    <w:p w14:paraId="478262E7" w14:textId="77777777" w:rsidR="009633AC" w:rsidRDefault="009633AC" w:rsidP="009633AC">
      <w:pPr>
        <w:pStyle w:val="ProspectusCont3"/>
        <w:rPr>
          <w:rFonts w:eastAsiaTheme="minorHAnsi"/>
        </w:rPr>
      </w:pPr>
      <w:r w:rsidRPr="00A52F2C">
        <w:rPr>
          <w:rFonts w:eastAsiaTheme="minorHAnsi"/>
        </w:rPr>
        <w:t>As all the objectives from the 2023 programme were completed and following the Corporation's initial review of this data, Amaroq is planning to undertake a detailed independent review of all data, having secured input from a number of world experts on porphyry and IOCG style orebodies. The intention is to intergrade all geophysical and geochemical data to expand the exploration strategy across the wider copper belt.</w:t>
      </w:r>
    </w:p>
    <w:p w14:paraId="7019101B" w14:textId="77777777" w:rsidR="009633AC" w:rsidRPr="00A52F2C" w:rsidRDefault="009633AC" w:rsidP="009633AC">
      <w:pPr>
        <w:pStyle w:val="ProspectusCont3"/>
        <w:rPr>
          <w:rFonts w:eastAsiaTheme="minorHAnsi"/>
          <w:lang w:val="en-GB" w:eastAsia="is-IS"/>
        </w:rPr>
      </w:pPr>
      <w:r w:rsidRPr="00A52F2C">
        <w:rPr>
          <w:rFonts w:eastAsiaTheme="minorHAnsi"/>
          <w:lang w:val="en-GB" w:eastAsia="is-IS"/>
        </w:rPr>
        <w:t xml:space="preserve">The Corporation is considering deploying a ground IP survey over Target West, which would aid in defining zones of alteration and sulphide </w:t>
      </w:r>
      <w:r>
        <w:rPr>
          <w:rFonts w:eastAsiaTheme="minorHAnsi"/>
          <w:lang w:val="en-GB" w:eastAsia="is-IS"/>
        </w:rPr>
        <w:t>mineralization</w:t>
      </w:r>
      <w:r w:rsidRPr="00A52F2C">
        <w:rPr>
          <w:rFonts w:eastAsiaTheme="minorHAnsi"/>
          <w:lang w:val="en-GB" w:eastAsia="is-IS"/>
        </w:rPr>
        <w:t xml:space="preserve"> at depth. These results would further guide a 2024 drilling programme at Target West.</w:t>
      </w:r>
    </w:p>
    <w:p w14:paraId="0C8BD3FF" w14:textId="77777777" w:rsidR="009633AC" w:rsidRPr="00A52F2C" w:rsidRDefault="009633AC" w:rsidP="009633AC">
      <w:pPr>
        <w:pStyle w:val="ProspectusL2"/>
        <w:rPr>
          <w:rFonts w:eastAsiaTheme="minorHAnsi"/>
        </w:rPr>
      </w:pPr>
      <w:r w:rsidRPr="00A52F2C">
        <w:rPr>
          <w:rFonts w:eastAsiaTheme="minorHAnsi"/>
        </w:rPr>
        <w:t>Kobberminebugt Licence</w:t>
      </w:r>
    </w:p>
    <w:p w14:paraId="6B509E99" w14:textId="77777777" w:rsidR="009633AC" w:rsidRPr="00A52F2C" w:rsidRDefault="009633AC" w:rsidP="009633AC">
      <w:pPr>
        <w:pStyle w:val="ProspectusL3"/>
        <w:rPr>
          <w:rFonts w:eastAsiaTheme="minorHAnsi"/>
        </w:rPr>
      </w:pPr>
      <w:r w:rsidRPr="00A52F2C">
        <w:rPr>
          <w:rFonts w:eastAsiaTheme="minorHAnsi"/>
        </w:rPr>
        <w:t>Property Description</w:t>
      </w:r>
    </w:p>
    <w:p w14:paraId="0EE13FEF" w14:textId="77777777" w:rsidR="009633AC" w:rsidRDefault="009633AC" w:rsidP="009633AC">
      <w:pPr>
        <w:pStyle w:val="ProspectusCont2"/>
        <w:rPr>
          <w:rFonts w:eastAsiaTheme="minorHAnsi"/>
        </w:rPr>
      </w:pPr>
      <w:r w:rsidRPr="00A52F2C">
        <w:rPr>
          <w:rFonts w:eastAsiaTheme="minorHAnsi"/>
        </w:rPr>
        <w:t>The Corporation acquired the exclusive right to conduct exploration activities on approximately 220 km</w:t>
      </w:r>
      <w:r w:rsidRPr="00A52F2C">
        <w:rPr>
          <w:rFonts w:eastAsiaTheme="minorHAnsi"/>
          <w:vertAlign w:val="superscript"/>
        </w:rPr>
        <w:t>2</w:t>
      </w:r>
      <w:r w:rsidRPr="00A52F2C">
        <w:rPr>
          <w:rFonts w:eastAsiaTheme="minorHAnsi"/>
        </w:rPr>
        <w:t xml:space="preserve"> of land in an area of Aputaajuitsoq in South Greenland. The exploration rights have been granted to the Corporation under a new separate Exploration Licence 2022/01, referred to as Kobberminebugt. The licence application has been approved and all required documentation was signed by the Corporation on November 24, 2021, and the licence became effective on February 23, 2022 when it was signed by the Government of Greenland. The license expires on December 31, 2026. In March 2023, the Corporation was granted an addendum to the Kobberminebugt Licence, accepting the transfer of the License from Nalunaq A/S to Gardaq A/S and this addendum became effective on March 23, 2023 when it was signed by the Government of Greenland. This license transfer was made as part of the joint venture agreement between the Corporation and ACAM.</w:t>
      </w:r>
    </w:p>
    <w:p w14:paraId="725E5A1C" w14:textId="77777777" w:rsidR="009633AC" w:rsidRDefault="009633AC" w:rsidP="009633AC">
      <w:pPr>
        <w:pStyle w:val="ProspectusCont2"/>
        <w:rPr>
          <w:rFonts w:eastAsiaTheme="minorHAnsi"/>
          <w:lang w:val="en-GB" w:eastAsia="is-IS"/>
        </w:rPr>
      </w:pPr>
      <w:r w:rsidRPr="00A52F2C">
        <w:rPr>
          <w:rFonts w:eastAsiaTheme="minorHAnsi"/>
          <w:lang w:val="en-GB" w:eastAsia="is-IS"/>
        </w:rPr>
        <w:t xml:space="preserve">The area hosts numerous copper-gold showings including the small past-producing Josva and Lilian copper mines, which was last worked in 1914 with reported grades up to 5% copper, 1.5 g/t Gold and 250 g/t silver. Copper </w:t>
      </w:r>
      <w:r>
        <w:rPr>
          <w:rFonts w:eastAsiaTheme="minorHAnsi"/>
          <w:lang w:val="en-GB" w:eastAsia="is-IS"/>
        </w:rPr>
        <w:t>mineralization</w:t>
      </w:r>
      <w:r w:rsidRPr="00A52F2C">
        <w:rPr>
          <w:rFonts w:eastAsiaTheme="minorHAnsi"/>
          <w:lang w:val="en-GB" w:eastAsia="is-IS"/>
        </w:rPr>
        <w:t xml:space="preserve"> discovered to date is found within volcanic and sedimentary sequences as disseminated stratabound sulphides, and locally enriched into layers due to strong folding or in quartz veins and breccias. Sulphide concentrations vary from 1-50% volume depending on the style of </w:t>
      </w:r>
      <w:r>
        <w:rPr>
          <w:rFonts w:eastAsiaTheme="minorHAnsi"/>
          <w:lang w:val="en-GB" w:eastAsia="is-IS"/>
        </w:rPr>
        <w:t>mineralization</w:t>
      </w:r>
      <w:r w:rsidRPr="00A52F2C">
        <w:rPr>
          <w:rFonts w:eastAsiaTheme="minorHAnsi"/>
          <w:lang w:val="en-GB" w:eastAsia="is-IS"/>
        </w:rPr>
        <w:t>. Some showings can be followed for several hundred metres along strike with widths of up to several metres.</w:t>
      </w:r>
    </w:p>
    <w:p w14:paraId="28B3DD68" w14:textId="77777777" w:rsidR="009633AC" w:rsidRDefault="009633AC" w:rsidP="009633AC">
      <w:pPr>
        <w:pStyle w:val="ProspectusCont2"/>
        <w:rPr>
          <w:rFonts w:eastAsiaTheme="minorHAnsi"/>
          <w:lang w:val="en-GB" w:eastAsia="is-IS"/>
        </w:rPr>
      </w:pPr>
      <w:r>
        <w:rPr>
          <w:rFonts w:eastAsiaTheme="minorHAnsi"/>
          <w:lang w:val="en-GB" w:eastAsia="is-IS"/>
        </w:rPr>
        <w:t>Mineralization</w:t>
      </w:r>
      <w:r w:rsidRPr="00A52F2C">
        <w:rPr>
          <w:rFonts w:eastAsiaTheme="minorHAnsi"/>
          <w:lang w:val="en-GB" w:eastAsia="is-IS"/>
        </w:rPr>
        <w:t xml:space="preserve"> has been interpreted as IOCG style by the Geological Survey of Denmark and Greenland ("</w:t>
      </w:r>
      <w:r w:rsidRPr="00A52F2C">
        <w:rPr>
          <w:rFonts w:eastAsiaTheme="minorHAnsi"/>
          <w:b/>
          <w:lang w:val="en-GB" w:eastAsia="is-IS"/>
        </w:rPr>
        <w:t>GEUS</w:t>
      </w:r>
      <w:r w:rsidRPr="00A52F2C">
        <w:rPr>
          <w:rFonts w:eastAsiaTheme="minorHAnsi"/>
          <w:lang w:val="en-GB" w:eastAsia="is-IS"/>
        </w:rPr>
        <w:t xml:space="preserve">"). The new licence is located approximately 100 km west of Amaroq's Sava exploration project (formerly known as Kangerluarsuk), which is similarly targeting granite hosted IOCG </w:t>
      </w:r>
      <w:r>
        <w:rPr>
          <w:rFonts w:eastAsiaTheme="minorHAnsi"/>
          <w:lang w:val="en-GB" w:eastAsia="is-IS"/>
        </w:rPr>
        <w:t>mineralization</w:t>
      </w:r>
      <w:r w:rsidRPr="00A52F2C">
        <w:rPr>
          <w:rFonts w:eastAsiaTheme="minorHAnsi"/>
          <w:lang w:val="en-GB" w:eastAsia="is-IS"/>
        </w:rPr>
        <w:t xml:space="preserve"> in the Julianehåb granitic batholith. </w:t>
      </w:r>
      <w:r>
        <w:rPr>
          <w:rFonts w:eastAsiaTheme="minorHAnsi"/>
          <w:lang w:val="en-GB" w:eastAsia="is-IS"/>
        </w:rPr>
        <w:t>The Corporation</w:t>
      </w:r>
      <w:r w:rsidRPr="00A52F2C">
        <w:rPr>
          <w:rFonts w:eastAsiaTheme="minorHAnsi"/>
          <w:lang w:val="en-GB" w:eastAsia="is-IS"/>
        </w:rPr>
        <w:t xml:space="preserve"> believes that the region is underexplored for IOCG deposits and shows many geological similarities to the IOCG province of northern Sweden, which hosts several operating mines.</w:t>
      </w:r>
    </w:p>
    <w:p w14:paraId="1741B4BA" w14:textId="77777777" w:rsidR="009633AC" w:rsidRPr="00A52F2C" w:rsidRDefault="009633AC" w:rsidP="009633AC">
      <w:pPr>
        <w:pStyle w:val="ProspectusCont2"/>
        <w:rPr>
          <w:rFonts w:eastAsiaTheme="minorHAnsi"/>
          <w:lang w:val="en-GB" w:eastAsia="is-IS"/>
        </w:rPr>
      </w:pPr>
      <w:r w:rsidRPr="00A52F2C">
        <w:rPr>
          <w:rFonts w:eastAsiaTheme="minorHAnsi"/>
          <w:lang w:val="en-GB" w:eastAsia="is-IS"/>
        </w:rPr>
        <w:t>Regionally, the Kobberminebugt copper occurrences may be related to a mineral belt located along the Gardar-Voisey's Bay Fault Zone that straddles Eastern Canada and South Greenland.</w:t>
      </w:r>
    </w:p>
    <w:p w14:paraId="4EBF0428" w14:textId="77777777" w:rsidR="009633AC" w:rsidRPr="00A52F2C" w:rsidRDefault="009633AC" w:rsidP="009633AC">
      <w:pPr>
        <w:pStyle w:val="ProspectusL3"/>
        <w:rPr>
          <w:rFonts w:eastAsiaTheme="minorHAnsi"/>
        </w:rPr>
      </w:pPr>
      <w:r w:rsidRPr="00A52F2C">
        <w:rPr>
          <w:rFonts w:eastAsiaTheme="minorHAnsi"/>
        </w:rPr>
        <w:lastRenderedPageBreak/>
        <w:t>Exploration Work</w:t>
      </w:r>
    </w:p>
    <w:p w14:paraId="110F6267" w14:textId="77777777" w:rsidR="009633AC" w:rsidRPr="00A52F2C" w:rsidRDefault="009633AC" w:rsidP="009633AC">
      <w:pPr>
        <w:pStyle w:val="ProspectusCont2"/>
        <w:rPr>
          <w:rFonts w:eastAsiaTheme="minorHAnsi"/>
        </w:rPr>
      </w:pPr>
      <w:r w:rsidRPr="00A52F2C">
        <w:rPr>
          <w:rFonts w:eastAsiaTheme="minorHAnsi"/>
        </w:rPr>
        <w:t xml:space="preserve">The historic mine workings at Josva and Lilian were visited in 2022 with an aim to understand the style and potential extent of the </w:t>
      </w:r>
      <w:r>
        <w:rPr>
          <w:rFonts w:eastAsiaTheme="minorHAnsi"/>
        </w:rPr>
        <w:t>mineralization</w:t>
      </w:r>
      <w:r w:rsidRPr="00A52F2C">
        <w:rPr>
          <w:rFonts w:eastAsiaTheme="minorHAnsi"/>
        </w:rPr>
        <w:t xml:space="preserve">. A detailed drone survey was flown at Josva to map geological contacts and surface </w:t>
      </w:r>
      <w:r>
        <w:rPr>
          <w:rFonts w:eastAsiaTheme="minorHAnsi"/>
        </w:rPr>
        <w:t>mineralization</w:t>
      </w:r>
      <w:r w:rsidRPr="00A52F2C">
        <w:rPr>
          <w:rFonts w:eastAsiaTheme="minorHAnsi"/>
        </w:rPr>
        <w:t xml:space="preserve">. Samples of the main Josva vein returned up to 11.6 % Cu over 0.5 m. Minor gold and silver grades were also reported. Copper </w:t>
      </w:r>
      <w:r>
        <w:rPr>
          <w:rFonts w:eastAsiaTheme="minorHAnsi"/>
        </w:rPr>
        <w:t>mineralization</w:t>
      </w:r>
      <w:r w:rsidRPr="00A52F2C">
        <w:rPr>
          <w:rFonts w:eastAsiaTheme="minorHAnsi"/>
        </w:rPr>
        <w:t xml:space="preserve"> was confirmed to be skarn related, potential akin to regional IOCG </w:t>
      </w:r>
      <w:r>
        <w:rPr>
          <w:rFonts w:eastAsiaTheme="minorHAnsi"/>
        </w:rPr>
        <w:t>mineralization</w:t>
      </w:r>
      <w:r w:rsidRPr="00A52F2C">
        <w:rPr>
          <w:rFonts w:eastAsiaTheme="minorHAnsi"/>
        </w:rPr>
        <w:t xml:space="preserve"> which increases the potential for greater tonnages to be found along the strike of Josva or related to the regional granite contact zone which was further explored in 2023.</w:t>
      </w:r>
    </w:p>
    <w:p w14:paraId="163EC42A" w14:textId="77777777" w:rsidR="009633AC" w:rsidRPr="00A52F2C" w:rsidRDefault="009633AC" w:rsidP="009633AC">
      <w:pPr>
        <w:pStyle w:val="ProspectusL3"/>
        <w:rPr>
          <w:rFonts w:eastAsiaTheme="minorHAnsi"/>
        </w:rPr>
      </w:pPr>
      <w:r w:rsidRPr="00A52F2C">
        <w:rPr>
          <w:rFonts w:eastAsiaTheme="minorHAnsi"/>
        </w:rPr>
        <w:t>Kobberminebugt Exploration Plans</w:t>
      </w:r>
    </w:p>
    <w:p w14:paraId="00F84253" w14:textId="77777777" w:rsidR="009633AC" w:rsidRPr="00A52F2C" w:rsidRDefault="009633AC" w:rsidP="009633AC">
      <w:pPr>
        <w:pStyle w:val="ProspectusCont2"/>
        <w:rPr>
          <w:rFonts w:eastAsiaTheme="minorHAnsi"/>
        </w:rPr>
      </w:pPr>
      <w:r w:rsidRPr="00A52F2C">
        <w:rPr>
          <w:rFonts w:eastAsiaTheme="minorHAnsi"/>
        </w:rPr>
        <w:t>The 2023 fieldwork plan revolved around a detailed airborne geophysical survey (magnetotellurics) across the whole licence area. The aim of this survey was to assess the mineral signature at the known Josva and other small historical operations, evaluate the depth and strike extensions of these away from the surface expressions and to record all other similar geophysical signatures across the prospective ground. Interpreted results of this survey are expected in Q2 2024.</w:t>
      </w:r>
    </w:p>
    <w:p w14:paraId="4F150D11" w14:textId="77777777" w:rsidR="009633AC" w:rsidRPr="00A52F2C" w:rsidRDefault="009633AC" w:rsidP="009633AC">
      <w:pPr>
        <w:pStyle w:val="ProspectusL2"/>
        <w:rPr>
          <w:rFonts w:eastAsiaTheme="minorHAnsi"/>
        </w:rPr>
      </w:pPr>
      <w:r w:rsidRPr="00A52F2C">
        <w:rPr>
          <w:rFonts w:eastAsiaTheme="minorHAnsi"/>
        </w:rPr>
        <w:t>Stendalen Licence</w:t>
      </w:r>
    </w:p>
    <w:p w14:paraId="75A337BD" w14:textId="77777777" w:rsidR="009633AC" w:rsidRPr="00A52F2C" w:rsidRDefault="009633AC" w:rsidP="009633AC">
      <w:pPr>
        <w:pStyle w:val="ProspectusL3"/>
        <w:rPr>
          <w:rFonts w:eastAsiaTheme="minorHAnsi"/>
        </w:rPr>
      </w:pPr>
      <w:r w:rsidRPr="00A52F2C">
        <w:rPr>
          <w:rFonts w:eastAsiaTheme="minorHAnsi"/>
        </w:rPr>
        <w:t>Property Description</w:t>
      </w:r>
    </w:p>
    <w:p w14:paraId="119E4EEA" w14:textId="77777777" w:rsidR="009633AC" w:rsidRDefault="009633AC" w:rsidP="009633AC">
      <w:pPr>
        <w:pStyle w:val="ProspectusCont2"/>
        <w:rPr>
          <w:rFonts w:eastAsiaTheme="minorHAnsi"/>
        </w:rPr>
      </w:pPr>
      <w:r w:rsidRPr="00A52F2C">
        <w:rPr>
          <w:rFonts w:eastAsiaTheme="minorHAnsi"/>
        </w:rPr>
        <w:t>The Corporation acquired the right to conduct exploration activities on 1,377.16 km</w:t>
      </w:r>
      <w:r w:rsidRPr="00A52F2C">
        <w:rPr>
          <w:rFonts w:eastAsiaTheme="minorHAnsi"/>
          <w:vertAlign w:val="superscript"/>
        </w:rPr>
        <w:t>2</w:t>
      </w:r>
      <w:r w:rsidRPr="00A52F2C">
        <w:rPr>
          <w:rFonts w:eastAsiaTheme="minorHAnsi"/>
        </w:rPr>
        <w:t xml:space="preserve"> of the existing 2021/11 licence through its acquisition from Orano </w:t>
      </w:r>
      <w:r>
        <w:rPr>
          <w:rFonts w:eastAsiaTheme="minorHAnsi"/>
        </w:rPr>
        <w:t xml:space="preserve">as announced </w:t>
      </w:r>
      <w:r w:rsidRPr="00A52F2C">
        <w:rPr>
          <w:rFonts w:eastAsiaTheme="minorHAnsi"/>
        </w:rPr>
        <w:t xml:space="preserve">on May 12, 2022. The licence is split into two areas around the Qasinngortoq and Kangerlussuatsiaq areas of South Greenland and is collectively referred to as the Stendalen licence. All related transfer application documents have been signed by the Corporation and the licence became effective on November 14, 2022 when it was signed by the Government of Greenland. The license expires on March 1, 2026. In March 2023, the Corporation was granted an addendum to the Stendalen licence, accepting the transfer of the License from Nalunaq A/S to Gardaq A/S and this addendum became effective March 23, 2023 when it was signed by the Government of Greenland. This </w:t>
      </w:r>
      <w:r>
        <w:rPr>
          <w:rFonts w:eastAsiaTheme="minorHAnsi"/>
        </w:rPr>
        <w:t>l</w:t>
      </w:r>
      <w:r w:rsidRPr="00A52F2C">
        <w:rPr>
          <w:rFonts w:eastAsiaTheme="minorHAnsi"/>
        </w:rPr>
        <w:t>icense transfer was made as part of the joint venture agreement between the Corporation and ACAM LP.</w:t>
      </w:r>
    </w:p>
    <w:p w14:paraId="0146273A" w14:textId="77777777" w:rsidR="009633AC" w:rsidRDefault="009633AC" w:rsidP="009633AC">
      <w:pPr>
        <w:pStyle w:val="ProspectusCont2"/>
        <w:rPr>
          <w:rFonts w:eastAsiaTheme="minorHAnsi"/>
          <w:lang w:val="en-GB" w:eastAsia="is-IS"/>
        </w:rPr>
      </w:pPr>
      <w:r w:rsidRPr="00A52F2C">
        <w:rPr>
          <w:rFonts w:eastAsiaTheme="minorHAnsi"/>
          <w:lang w:val="en-GB" w:eastAsia="is-IS"/>
        </w:rPr>
        <w:t xml:space="preserve">The licence package hosts two significant mineral occurrences, the first being the Stendalen layered gabbro intrusion. Stendalen has been previously explored by GEUS, Softrock Minerals and Nuna Minerals A/S. The intrusion is 8km in diameter and several hundred metres thick. It hosts a continuous magnetite rich layer up to 20m thick which contains up to 20 vol% ilmenite, 10 vol% magnetite and 5 vol% pyrrhotite. Historical samples of this layer have yielded between 1-10.5% </w:t>
      </w:r>
      <w:r>
        <w:rPr>
          <w:rFonts w:eastAsiaTheme="minorHAnsi"/>
          <w:lang w:val="en-GB" w:eastAsia="is-IS"/>
        </w:rPr>
        <w:t>t</w:t>
      </w:r>
      <w:r w:rsidRPr="00A52F2C">
        <w:rPr>
          <w:rFonts w:eastAsiaTheme="minorHAnsi"/>
          <w:lang w:val="en-GB" w:eastAsia="is-IS"/>
        </w:rPr>
        <w:t xml:space="preserve">itanium </w:t>
      </w:r>
      <w:r>
        <w:rPr>
          <w:rFonts w:eastAsiaTheme="minorHAnsi"/>
          <w:lang w:val="en-GB" w:eastAsia="is-IS"/>
        </w:rPr>
        <w:t>d</w:t>
      </w:r>
      <w:r w:rsidRPr="00A52F2C">
        <w:rPr>
          <w:rFonts w:eastAsiaTheme="minorHAnsi"/>
          <w:lang w:val="en-GB" w:eastAsia="is-IS"/>
        </w:rPr>
        <w:t xml:space="preserve">ioxide (TiO2) (average of 4.8%) and 226 - 5,753 ppm </w:t>
      </w:r>
      <w:r>
        <w:rPr>
          <w:rFonts w:eastAsiaTheme="minorHAnsi"/>
          <w:lang w:val="en-GB" w:eastAsia="is-IS"/>
        </w:rPr>
        <w:t>v</w:t>
      </w:r>
      <w:r w:rsidRPr="00A52F2C">
        <w:rPr>
          <w:rFonts w:eastAsiaTheme="minorHAnsi"/>
          <w:lang w:val="en-GB" w:eastAsia="is-IS"/>
        </w:rPr>
        <w:t>anadium (V) (average 2,335 ppm).</w:t>
      </w:r>
    </w:p>
    <w:p w14:paraId="7B5B82BB" w14:textId="77777777" w:rsidR="009633AC" w:rsidRDefault="009633AC" w:rsidP="009633AC">
      <w:pPr>
        <w:pStyle w:val="ProspectusCont2"/>
        <w:rPr>
          <w:rFonts w:eastAsiaTheme="minorHAnsi"/>
          <w:lang w:val="en-GB" w:eastAsia="is-IS"/>
        </w:rPr>
      </w:pPr>
      <w:r w:rsidRPr="00A52F2C">
        <w:rPr>
          <w:rFonts w:eastAsiaTheme="minorHAnsi"/>
          <w:lang w:val="en-GB" w:eastAsia="is-IS"/>
        </w:rPr>
        <w:t xml:space="preserve">The Stendalen project, located in the licence block of the same name, also hosts the potential for nickel (Ni), copper (Cu) and platinum group element (PGE) </w:t>
      </w:r>
      <w:r>
        <w:rPr>
          <w:rFonts w:eastAsiaTheme="minorHAnsi"/>
          <w:lang w:val="en-GB" w:eastAsia="is-IS"/>
        </w:rPr>
        <w:t>mineralization</w:t>
      </w:r>
      <w:r w:rsidRPr="00A52F2C">
        <w:rPr>
          <w:rFonts w:eastAsiaTheme="minorHAnsi"/>
          <w:lang w:val="en-GB" w:eastAsia="is-IS"/>
        </w:rPr>
        <w:t xml:space="preserve"> with grab samples proving grades of 0.8% copper (Cu), 0.5% nickel (Ni) and 0.1% cobalt (Co). Disseminated Ni-Cu-Co </w:t>
      </w:r>
      <w:r>
        <w:rPr>
          <w:rFonts w:eastAsiaTheme="minorHAnsi"/>
          <w:lang w:val="en-GB" w:eastAsia="is-IS"/>
        </w:rPr>
        <w:t>mineralization</w:t>
      </w:r>
      <w:r w:rsidRPr="00A52F2C">
        <w:rPr>
          <w:rFonts w:eastAsiaTheme="minorHAnsi"/>
          <w:lang w:val="en-GB" w:eastAsia="is-IS"/>
        </w:rPr>
        <w:t xml:space="preserve"> is distributed in a 6km long and 200m thick contact zone on the west, north and east flanks of the intrusion, close to the contact with the underlying metasediments. There is also potential for massive magmatic sulphides.</w:t>
      </w:r>
    </w:p>
    <w:p w14:paraId="00B335A7" w14:textId="77777777" w:rsidR="009633AC" w:rsidRDefault="009633AC" w:rsidP="009633AC">
      <w:pPr>
        <w:pStyle w:val="ProspectusCont2"/>
        <w:rPr>
          <w:rFonts w:eastAsiaTheme="minorHAnsi"/>
          <w:lang w:val="en-GB" w:eastAsia="is-IS"/>
        </w:rPr>
      </w:pPr>
      <w:r w:rsidRPr="00A52F2C">
        <w:rPr>
          <w:rFonts w:eastAsiaTheme="minorHAnsi"/>
          <w:lang w:val="en-GB" w:eastAsia="is-IS"/>
        </w:rPr>
        <w:t>Secondly, the Paatusoq Rare Earth Element, Niobium, Tantalum, Zirconium project is a syenite complex that is 20km in diameter covering an area of greater than 240km</w:t>
      </w:r>
      <w:r w:rsidRPr="00A52F2C">
        <w:rPr>
          <w:rFonts w:eastAsiaTheme="minorHAnsi"/>
          <w:vertAlign w:val="superscript"/>
          <w:lang w:val="en-GB" w:eastAsia="is-IS"/>
        </w:rPr>
        <w:t xml:space="preserve">2 </w:t>
      </w:r>
      <w:r w:rsidRPr="00A52F2C">
        <w:rPr>
          <w:rFonts w:eastAsiaTheme="minorHAnsi"/>
          <w:lang w:val="en-GB" w:eastAsia="is-IS"/>
        </w:rPr>
        <w:t>within an unexplored section of the Garder Province that also hosts the Kvanefjeld and Tanbreez rare earth projects. A radiometric survey was carried out by Nuna Minerals A</w:t>
      </w:r>
      <w:r w:rsidRPr="00A52F2C">
        <w:rPr>
          <w:rFonts w:eastAsiaTheme="minorHAnsi"/>
          <w:lang w:val="is-IS" w:eastAsia="is-IS"/>
        </w:rPr>
        <w:t>/S</w:t>
      </w:r>
      <w:r w:rsidRPr="00A52F2C">
        <w:rPr>
          <w:rFonts w:eastAsiaTheme="minorHAnsi"/>
          <w:lang w:val="en-GB" w:eastAsia="is-IS"/>
        </w:rPr>
        <w:t xml:space="preserve"> and has resulted in several high priority targets for ground-truthing but was never followed up before Nuna Minerals A/S' bankruptcy in 2015.</w:t>
      </w:r>
    </w:p>
    <w:p w14:paraId="761DEE1A" w14:textId="77777777" w:rsidR="009633AC" w:rsidRPr="00A52F2C" w:rsidRDefault="009633AC" w:rsidP="009633AC">
      <w:pPr>
        <w:pStyle w:val="ProspectusCont2"/>
        <w:rPr>
          <w:rFonts w:eastAsiaTheme="minorHAnsi"/>
          <w:lang w:val="en-GB" w:eastAsia="is-IS"/>
        </w:rPr>
      </w:pPr>
      <w:r w:rsidRPr="00A52F2C">
        <w:rPr>
          <w:rFonts w:eastAsiaTheme="minorHAnsi"/>
          <w:lang w:val="en-GB" w:eastAsia="is-IS"/>
        </w:rPr>
        <w:t xml:space="preserve">Amaroq is collaborating with the University of St Andrews which has expertise in alkaline mineral systems, and significant experience with the Gardar intrusions, including at Paatusoq. </w:t>
      </w:r>
    </w:p>
    <w:p w14:paraId="7544629D" w14:textId="77777777" w:rsidR="009633AC" w:rsidRPr="00A52F2C" w:rsidRDefault="009633AC" w:rsidP="009633AC">
      <w:pPr>
        <w:pStyle w:val="ProspectusL3"/>
        <w:rPr>
          <w:rFonts w:eastAsiaTheme="minorHAnsi"/>
        </w:rPr>
      </w:pPr>
      <w:r w:rsidRPr="00A52F2C">
        <w:rPr>
          <w:rFonts w:eastAsiaTheme="minorHAnsi"/>
        </w:rPr>
        <w:t xml:space="preserve">Exploration </w:t>
      </w:r>
      <w:r>
        <w:rPr>
          <w:rFonts w:eastAsiaTheme="minorHAnsi"/>
        </w:rPr>
        <w:t>W</w:t>
      </w:r>
      <w:r w:rsidRPr="00A52F2C">
        <w:rPr>
          <w:rFonts w:eastAsiaTheme="minorHAnsi"/>
        </w:rPr>
        <w:t>ork</w:t>
      </w:r>
    </w:p>
    <w:p w14:paraId="5B88207D" w14:textId="77777777" w:rsidR="009633AC" w:rsidRPr="00A52F2C" w:rsidRDefault="009633AC" w:rsidP="009633AC">
      <w:pPr>
        <w:pStyle w:val="ProspectusCont2"/>
        <w:rPr>
          <w:rFonts w:eastAsiaTheme="minorHAnsi"/>
          <w:lang w:val="en-GB"/>
        </w:rPr>
      </w:pPr>
      <w:r w:rsidRPr="00A52F2C">
        <w:rPr>
          <w:rFonts w:eastAsiaTheme="minorHAnsi"/>
        </w:rPr>
        <w:t xml:space="preserve">Following the completion of a detailed airborne geophysical survey (Magnetotellurics (MT) survey) over the Stendalen intrusion, a targeted stratigraphic drillholes has been commenced aiming to intersect a number of </w:t>
      </w:r>
      <w:r w:rsidRPr="00A52F2C">
        <w:rPr>
          <w:rFonts w:eastAsiaTheme="minorHAnsi"/>
        </w:rPr>
        <w:lastRenderedPageBreak/>
        <w:t xml:space="preserve">prospective geophycisal anomalies. This drillhole is aimed to provide an uninterrupted sequence through the intrusion assessing its PGM and magmatic Ni/Cu sulphide hosting potential. Surface sampling will also provide further data on the outcropping Ti/V </w:t>
      </w:r>
      <w:r>
        <w:rPr>
          <w:rFonts w:eastAsiaTheme="minorHAnsi"/>
        </w:rPr>
        <w:t>mineralization</w:t>
      </w:r>
      <w:r w:rsidRPr="00A52F2C">
        <w:rPr>
          <w:rFonts w:eastAsiaTheme="minorHAnsi"/>
        </w:rPr>
        <w:t>. The results from this exploration are expected to be announced in Q2 2024.</w:t>
      </w:r>
    </w:p>
    <w:p w14:paraId="10533434" w14:textId="77777777" w:rsidR="009633AC" w:rsidRPr="00A52F2C" w:rsidRDefault="009633AC" w:rsidP="009633AC">
      <w:pPr>
        <w:pStyle w:val="ProspectusL3"/>
        <w:rPr>
          <w:rFonts w:eastAsiaTheme="minorHAnsi"/>
        </w:rPr>
      </w:pPr>
      <w:r w:rsidRPr="00A52F2C">
        <w:rPr>
          <w:rFonts w:eastAsiaTheme="minorHAnsi"/>
        </w:rPr>
        <w:t>Preliminary Scope of Work for the 2024 Field Season</w:t>
      </w:r>
    </w:p>
    <w:p w14:paraId="63066BBB" w14:textId="77777777" w:rsidR="009633AC" w:rsidRPr="00A52F2C" w:rsidRDefault="009633AC" w:rsidP="009633AC">
      <w:pPr>
        <w:pStyle w:val="ProspectusCont3"/>
        <w:rPr>
          <w:rFonts w:eastAsiaTheme="minorHAnsi"/>
        </w:rPr>
      </w:pPr>
      <w:r w:rsidRPr="00A52F2C">
        <w:rPr>
          <w:rFonts w:eastAsiaTheme="minorHAnsi"/>
        </w:rPr>
        <w:t xml:space="preserve">Amaroq is currently designing a follow up exploration programme for Stendalen in 2024. The plans will be finalized upon receipt of all the assay results from 2023 expected in Q2 2024. Results dependent, the 2024 programme will include continued exploration core drilling across the intrusion again targeting PGM and Ni/Cu sulphide </w:t>
      </w:r>
      <w:r>
        <w:rPr>
          <w:rFonts w:eastAsiaTheme="minorHAnsi"/>
        </w:rPr>
        <w:t>mineralization</w:t>
      </w:r>
      <w:r w:rsidRPr="00A52F2C">
        <w:rPr>
          <w:rFonts w:eastAsiaTheme="minorHAnsi"/>
        </w:rPr>
        <w:t>. This will be coupled with surface and downhole geophysics programmes.</w:t>
      </w:r>
    </w:p>
    <w:p w14:paraId="085FD1A9" w14:textId="77777777" w:rsidR="009633AC" w:rsidRPr="00A52F2C" w:rsidRDefault="009633AC" w:rsidP="009633AC">
      <w:pPr>
        <w:pStyle w:val="ProspectusL3"/>
        <w:rPr>
          <w:rFonts w:eastAsiaTheme="minorHAnsi"/>
        </w:rPr>
      </w:pPr>
      <w:r w:rsidRPr="00A52F2C">
        <w:rPr>
          <w:rFonts w:eastAsiaTheme="minorHAnsi"/>
        </w:rPr>
        <w:t>Paatasoq Exploration Works</w:t>
      </w:r>
    </w:p>
    <w:p w14:paraId="5EFAE303" w14:textId="77777777" w:rsidR="009633AC" w:rsidRPr="00A52F2C" w:rsidRDefault="009633AC" w:rsidP="009633AC">
      <w:pPr>
        <w:pStyle w:val="ProspectusCont2"/>
        <w:rPr>
          <w:rFonts w:eastAsiaTheme="minorHAnsi"/>
        </w:rPr>
      </w:pPr>
      <w:r w:rsidRPr="00A52F2C">
        <w:rPr>
          <w:rFonts w:eastAsiaTheme="minorHAnsi"/>
        </w:rPr>
        <w:t xml:space="preserve">The Paatusoq syenite intrusion was visited and sampled during August 2023, with the main objectives being to follow up on historic radiometric anomalies and identify areas of </w:t>
      </w:r>
      <w:r>
        <w:rPr>
          <w:rFonts w:eastAsiaTheme="minorHAnsi"/>
        </w:rPr>
        <w:t>mineralization</w:t>
      </w:r>
      <w:r w:rsidRPr="00A52F2C">
        <w:rPr>
          <w:rFonts w:eastAsiaTheme="minorHAnsi"/>
        </w:rPr>
        <w:t>. Drone surveys were carried out to improve geological maps of the intrusion. A virtually unexplored layered gabbro intrusion in contact with the Paatusoq syenites was also visited and assessed for its similarities to the Stendalen gabbro intrusion.</w:t>
      </w:r>
    </w:p>
    <w:p w14:paraId="59E3C0C8" w14:textId="77777777" w:rsidR="009633AC" w:rsidRPr="00A52F2C" w:rsidRDefault="009633AC" w:rsidP="009633AC">
      <w:pPr>
        <w:pStyle w:val="ProspectusL2"/>
        <w:rPr>
          <w:rFonts w:eastAsiaTheme="minorHAnsi"/>
        </w:rPr>
      </w:pPr>
      <w:r w:rsidRPr="00A52F2C">
        <w:rPr>
          <w:rFonts w:eastAsiaTheme="minorHAnsi"/>
        </w:rPr>
        <w:t>North Sava Licence</w:t>
      </w:r>
    </w:p>
    <w:p w14:paraId="11679891" w14:textId="77777777" w:rsidR="009633AC" w:rsidRPr="00A52F2C" w:rsidRDefault="009633AC" w:rsidP="009633AC">
      <w:pPr>
        <w:pStyle w:val="ProspectusL3"/>
        <w:rPr>
          <w:rFonts w:eastAsiaTheme="minorHAnsi"/>
        </w:rPr>
      </w:pPr>
      <w:r w:rsidRPr="00A52F2C">
        <w:rPr>
          <w:rFonts w:eastAsiaTheme="minorHAnsi"/>
        </w:rPr>
        <w:t xml:space="preserve">Property </w:t>
      </w:r>
      <w:r>
        <w:rPr>
          <w:rFonts w:eastAsiaTheme="minorHAnsi"/>
        </w:rPr>
        <w:t>D</w:t>
      </w:r>
      <w:r w:rsidRPr="00A52F2C">
        <w:rPr>
          <w:rFonts w:eastAsiaTheme="minorHAnsi"/>
        </w:rPr>
        <w:t>escription</w:t>
      </w:r>
    </w:p>
    <w:p w14:paraId="4E54B955" w14:textId="77777777" w:rsidR="009633AC" w:rsidRDefault="009633AC" w:rsidP="009633AC">
      <w:pPr>
        <w:pStyle w:val="ProspectusCont2"/>
        <w:rPr>
          <w:rFonts w:eastAsiaTheme="minorHAnsi"/>
        </w:rPr>
      </w:pPr>
      <w:r w:rsidRPr="00A52F2C">
        <w:rPr>
          <w:rFonts w:eastAsiaTheme="minorHAnsi"/>
        </w:rPr>
        <w:t>The Corporation acquired the right to conduct exploration activities on approximately 332.99 km</w:t>
      </w:r>
      <w:r w:rsidRPr="00A52F2C">
        <w:rPr>
          <w:rFonts w:eastAsiaTheme="minorHAnsi"/>
          <w:vertAlign w:val="superscript"/>
        </w:rPr>
        <w:t>2</w:t>
      </w:r>
      <w:r w:rsidRPr="00A52F2C">
        <w:rPr>
          <w:rFonts w:eastAsiaTheme="minorHAnsi"/>
        </w:rPr>
        <w:t xml:space="preserve"> of the existing 2020/41 licence through its acquisition from Orano as announced on May 12, 2022. The licence is split into two areas around the Akuliarutsip and Narsaviarsuasiit areas of South Greenland and is collectively referred to as the North Sava licence. All related transfer documents have been signed by the Corporation and the licence became effective on November 14, 2022 when it was signed by the Government of Greenland. The license expires on March 1, 2026. In March 2023, the Corporation was granted an addendum to the North Sava Licence, accepting the transfer of the License from Nalunaq A/S to Gardaq A/S and this addendum became effective on March 23, 2023 when it was signed by the Government of Greenland. This license transfer was made as part of the joint venture agreement between the Corporation and ACAM.</w:t>
      </w:r>
    </w:p>
    <w:p w14:paraId="2356D6BC" w14:textId="77777777" w:rsidR="009633AC" w:rsidRDefault="009633AC" w:rsidP="009633AC">
      <w:pPr>
        <w:pStyle w:val="ProspectusCont2"/>
        <w:rPr>
          <w:rFonts w:eastAsiaTheme="minorHAnsi"/>
          <w:lang w:val="en-GB" w:eastAsia="is-IS"/>
        </w:rPr>
      </w:pPr>
      <w:r w:rsidRPr="00A52F2C">
        <w:rPr>
          <w:rFonts w:eastAsiaTheme="minorHAnsi"/>
          <w:lang w:val="en-GB" w:eastAsia="is-IS"/>
        </w:rPr>
        <w:t xml:space="preserve">The licence package hosts two main mineral occurrences. The first, North Sava, is a continuation of the ground held and explored by Amaroq at Sava within a newly identified IOCG (Iron Oxide Copper Gold) and </w:t>
      </w:r>
      <w:r>
        <w:rPr>
          <w:rFonts w:eastAsiaTheme="minorHAnsi"/>
          <w:lang w:val="en-GB" w:eastAsia="is-IS"/>
        </w:rPr>
        <w:t>p</w:t>
      </w:r>
      <w:r w:rsidRPr="00A52F2C">
        <w:rPr>
          <w:rFonts w:eastAsiaTheme="minorHAnsi"/>
          <w:lang w:val="en-GB" w:eastAsia="is-IS"/>
        </w:rPr>
        <w:t xml:space="preserve">orphyry </w:t>
      </w:r>
      <w:r>
        <w:rPr>
          <w:rFonts w:eastAsiaTheme="minorHAnsi"/>
          <w:lang w:val="en-GB" w:eastAsia="is-IS"/>
        </w:rPr>
        <w:t>c</w:t>
      </w:r>
      <w:r w:rsidRPr="00A52F2C">
        <w:rPr>
          <w:rFonts w:eastAsiaTheme="minorHAnsi"/>
          <w:lang w:val="en-GB" w:eastAsia="is-IS"/>
        </w:rPr>
        <w:t>opper belt situated in close proximity to the international airport at Narsarsuaq.</w:t>
      </w:r>
    </w:p>
    <w:p w14:paraId="5578B081" w14:textId="77777777" w:rsidR="009633AC" w:rsidRPr="00A52F2C" w:rsidRDefault="009633AC" w:rsidP="009633AC">
      <w:pPr>
        <w:pStyle w:val="ProspectusCont2"/>
        <w:rPr>
          <w:rFonts w:eastAsiaTheme="minorHAnsi"/>
          <w:lang w:val="en-GB" w:eastAsia="is-IS"/>
        </w:rPr>
      </w:pPr>
      <w:r w:rsidRPr="00A52F2C">
        <w:rPr>
          <w:rFonts w:eastAsiaTheme="minorHAnsi"/>
          <w:lang w:val="en-GB" w:eastAsia="is-IS"/>
        </w:rPr>
        <w:t>Secondly, Midternaes is an unconformity and ultramafic hosted nickel, uranium, lead and zinc target within a sublicence adjoining Amaroq's Tartoq NP licence and the Tartoq gold belt in Southwest Greenland.</w:t>
      </w:r>
    </w:p>
    <w:p w14:paraId="12182646" w14:textId="77777777" w:rsidR="009633AC" w:rsidRPr="00A52F2C" w:rsidRDefault="009633AC" w:rsidP="009633AC">
      <w:pPr>
        <w:pStyle w:val="ProspectusL3"/>
        <w:rPr>
          <w:rFonts w:eastAsiaTheme="minorHAnsi"/>
        </w:rPr>
      </w:pPr>
      <w:r w:rsidRPr="00A52F2C">
        <w:rPr>
          <w:rFonts w:eastAsiaTheme="minorHAnsi"/>
        </w:rPr>
        <w:t>Exploration work</w:t>
      </w:r>
    </w:p>
    <w:p w14:paraId="43810400" w14:textId="77777777" w:rsidR="009633AC" w:rsidRPr="00A52F2C" w:rsidRDefault="009633AC" w:rsidP="009633AC">
      <w:pPr>
        <w:pStyle w:val="ProspectusCont2"/>
        <w:rPr>
          <w:rFonts w:eastAsiaTheme="minorHAnsi"/>
        </w:rPr>
      </w:pPr>
      <w:r w:rsidRPr="00A52F2C">
        <w:rPr>
          <w:rFonts w:eastAsiaTheme="minorHAnsi"/>
        </w:rPr>
        <w:t xml:space="preserve">An airborne geophysical survey of approximately 5,100 line-km (magnetic, gravity and radiometrics) was completed across the North Sava sub area targeting the continuation of the </w:t>
      </w:r>
      <w:r>
        <w:rPr>
          <w:rFonts w:eastAsiaTheme="minorHAnsi"/>
        </w:rPr>
        <w:t>mineralization</w:t>
      </w:r>
      <w:r w:rsidRPr="00A52F2C">
        <w:rPr>
          <w:rFonts w:eastAsiaTheme="minorHAnsi"/>
        </w:rPr>
        <w:t xml:space="preserve"> and mineral potential already identified at Sava. Following this work, the Corporation has been and will continue to assess several targets across the licence through helicopter supported geological reconnaissance operations. These are run in parallel to those at the Sava licence.</w:t>
      </w:r>
    </w:p>
    <w:p w14:paraId="47835329" w14:textId="77777777" w:rsidR="009633AC" w:rsidRPr="00A52F2C" w:rsidRDefault="009633AC" w:rsidP="009633AC">
      <w:pPr>
        <w:pStyle w:val="ProspectusL3"/>
        <w:rPr>
          <w:rFonts w:eastAsiaTheme="minorHAnsi"/>
        </w:rPr>
      </w:pPr>
      <w:r w:rsidRPr="00A52F2C">
        <w:rPr>
          <w:rFonts w:eastAsiaTheme="minorHAnsi"/>
        </w:rPr>
        <w:t>Additional Exploration Target Generation</w:t>
      </w:r>
    </w:p>
    <w:p w14:paraId="141A1999" w14:textId="77777777" w:rsidR="009633AC" w:rsidRDefault="009633AC" w:rsidP="009633AC">
      <w:pPr>
        <w:pStyle w:val="ProspectusCont2"/>
        <w:rPr>
          <w:rFonts w:eastAsiaTheme="minorHAnsi"/>
        </w:rPr>
      </w:pPr>
      <w:r w:rsidRPr="00A52F2C">
        <w:rPr>
          <w:rFonts w:eastAsiaTheme="minorHAnsi"/>
        </w:rPr>
        <w:t>Geological research is actively progressing with SRK, the University of St Andrews, other external advisors and Amaroq's internal geology team to define further resource potential both within our licenced areas, and across the region through reconnaissance programmes within the nonexclusive prospecting licences the Corporation holds including 2022-77. Amaroq continues to refine its regional mineral systems models which show strong prospectivity for minerals including gold, copper, molybdenum, graphite, platinum group elements, nickel, rare earth elements and others across South Greenland.</w:t>
      </w:r>
    </w:p>
    <w:p w14:paraId="4854C3EB" w14:textId="77777777" w:rsidR="009633AC" w:rsidRPr="00A52F2C" w:rsidRDefault="009633AC" w:rsidP="009633AC">
      <w:pPr>
        <w:pStyle w:val="ProspectusCont2"/>
        <w:rPr>
          <w:rFonts w:eastAsiaTheme="minorHAnsi"/>
          <w:lang w:val="en-GB" w:eastAsia="is-IS"/>
        </w:rPr>
      </w:pPr>
      <w:r w:rsidRPr="00A52F2C">
        <w:rPr>
          <w:rFonts w:eastAsiaTheme="minorHAnsi"/>
          <w:lang w:val="en-GB" w:eastAsia="is-IS"/>
        </w:rPr>
        <w:lastRenderedPageBreak/>
        <w:t xml:space="preserve">Based on these studies and the results of exploration in 2022, additional exploration licences were applied for at Paatusoq West, Nunarsuit and Johan Dahl Land in South Greenland. Very limited exploration has been carried out in these areas and the Corporation believes these licences are prospective for </w:t>
      </w:r>
      <w:r>
        <w:rPr>
          <w:rFonts w:eastAsiaTheme="minorHAnsi"/>
          <w:lang w:val="en-GB" w:eastAsia="is-IS"/>
        </w:rPr>
        <w:t>r</w:t>
      </w:r>
      <w:r w:rsidRPr="00A52F2C">
        <w:rPr>
          <w:rFonts w:eastAsiaTheme="minorHAnsi"/>
          <w:lang w:val="en-GB" w:eastAsia="is-IS"/>
        </w:rPr>
        <w:t xml:space="preserve">are </w:t>
      </w:r>
      <w:r>
        <w:rPr>
          <w:rFonts w:eastAsiaTheme="minorHAnsi"/>
          <w:lang w:val="en-GB" w:eastAsia="is-IS"/>
        </w:rPr>
        <w:t>e</w:t>
      </w:r>
      <w:r w:rsidRPr="00A52F2C">
        <w:rPr>
          <w:rFonts w:eastAsiaTheme="minorHAnsi"/>
          <w:lang w:val="en-GB" w:eastAsia="is-IS"/>
        </w:rPr>
        <w:t xml:space="preserve">arth </w:t>
      </w:r>
      <w:r>
        <w:rPr>
          <w:rFonts w:eastAsiaTheme="minorHAnsi"/>
          <w:lang w:val="en-GB" w:eastAsia="is-IS"/>
        </w:rPr>
        <w:t>e</w:t>
      </w:r>
      <w:r w:rsidRPr="00A52F2C">
        <w:rPr>
          <w:rFonts w:eastAsiaTheme="minorHAnsi"/>
          <w:lang w:val="en-GB" w:eastAsia="is-IS"/>
        </w:rPr>
        <w:t xml:space="preserve">lement, </w:t>
      </w:r>
      <w:r>
        <w:rPr>
          <w:rFonts w:eastAsiaTheme="minorHAnsi"/>
          <w:lang w:val="en-GB" w:eastAsia="is-IS"/>
        </w:rPr>
        <w:t>n</w:t>
      </w:r>
      <w:r w:rsidRPr="00A52F2C">
        <w:rPr>
          <w:rFonts w:eastAsiaTheme="minorHAnsi"/>
          <w:lang w:val="en-GB" w:eastAsia="is-IS"/>
        </w:rPr>
        <w:t xml:space="preserve">iobium, </w:t>
      </w:r>
      <w:r>
        <w:rPr>
          <w:rFonts w:eastAsiaTheme="minorHAnsi"/>
          <w:lang w:val="en-GB" w:eastAsia="is-IS"/>
        </w:rPr>
        <w:t>t</w:t>
      </w:r>
      <w:r w:rsidRPr="00A52F2C">
        <w:rPr>
          <w:rFonts w:eastAsiaTheme="minorHAnsi"/>
          <w:lang w:val="en-GB" w:eastAsia="is-IS"/>
        </w:rPr>
        <w:t xml:space="preserve">antalum, </w:t>
      </w:r>
      <w:r>
        <w:rPr>
          <w:rFonts w:eastAsiaTheme="minorHAnsi"/>
          <w:lang w:val="en-GB" w:eastAsia="is-IS"/>
        </w:rPr>
        <w:t>z</w:t>
      </w:r>
      <w:r w:rsidRPr="00A52F2C">
        <w:rPr>
          <w:rFonts w:eastAsiaTheme="minorHAnsi"/>
          <w:lang w:val="en-GB" w:eastAsia="is-IS"/>
        </w:rPr>
        <w:t xml:space="preserve">irconium, </w:t>
      </w:r>
      <w:r>
        <w:rPr>
          <w:rFonts w:eastAsiaTheme="minorHAnsi"/>
          <w:lang w:val="en-GB" w:eastAsia="is-IS"/>
        </w:rPr>
        <w:t>d</w:t>
      </w:r>
      <w:r w:rsidRPr="00A52F2C">
        <w:rPr>
          <w:rFonts w:eastAsiaTheme="minorHAnsi"/>
          <w:lang w:val="en-GB" w:eastAsia="is-IS"/>
        </w:rPr>
        <w:t xml:space="preserve">iamond and IOCG style </w:t>
      </w:r>
      <w:r>
        <w:rPr>
          <w:rFonts w:eastAsiaTheme="minorHAnsi"/>
          <w:lang w:val="en-GB" w:eastAsia="is-IS"/>
        </w:rPr>
        <w:t>mineralization</w:t>
      </w:r>
      <w:r w:rsidRPr="00A52F2C">
        <w:rPr>
          <w:rFonts w:eastAsiaTheme="minorHAnsi"/>
          <w:lang w:val="en-GB" w:eastAsia="is-IS"/>
        </w:rPr>
        <w:t>.</w:t>
      </w:r>
    </w:p>
    <w:p w14:paraId="76ECF731" w14:textId="77777777" w:rsidR="009633AC" w:rsidRPr="00A52F2C" w:rsidRDefault="009633AC" w:rsidP="009633AC">
      <w:pPr>
        <w:pStyle w:val="ProspectusL3"/>
        <w:rPr>
          <w:rFonts w:eastAsiaTheme="minorHAnsi"/>
        </w:rPr>
      </w:pPr>
      <w:r w:rsidRPr="00A52F2C">
        <w:rPr>
          <w:rFonts w:eastAsiaTheme="minorHAnsi"/>
        </w:rPr>
        <w:t>Paatusoq West</w:t>
      </w:r>
    </w:p>
    <w:p w14:paraId="7BD4176C" w14:textId="77777777" w:rsidR="009633AC" w:rsidRPr="00A52F2C" w:rsidRDefault="009633AC" w:rsidP="009633AC">
      <w:pPr>
        <w:pStyle w:val="ProspectusCont2"/>
        <w:rPr>
          <w:rFonts w:eastAsiaTheme="minorHAnsi"/>
        </w:rPr>
      </w:pPr>
      <w:r w:rsidRPr="00A52F2C">
        <w:rPr>
          <w:rFonts w:eastAsiaTheme="minorHAnsi"/>
        </w:rPr>
        <w:t>The Corporation has been granted exclusive exploration rights under a Mineral Exploration Licence in South Greenland, licence 2023-69 covering an area of 199 km</w:t>
      </w:r>
      <w:r w:rsidRPr="00A52F2C">
        <w:rPr>
          <w:rFonts w:eastAsiaTheme="minorHAnsi"/>
          <w:vertAlign w:val="superscript"/>
        </w:rPr>
        <w:t>2</w:t>
      </w:r>
      <w:r w:rsidRPr="00A52F2C">
        <w:rPr>
          <w:rFonts w:eastAsiaTheme="minorHAnsi"/>
        </w:rPr>
        <w:t>. The licence application has been approved and all required documentation was signed by the Corporation on June 30</w:t>
      </w:r>
      <w:r>
        <w:rPr>
          <w:rFonts w:eastAsiaTheme="minorHAnsi"/>
        </w:rPr>
        <w:t>,</w:t>
      </w:r>
      <w:r w:rsidRPr="00A52F2C">
        <w:rPr>
          <w:rFonts w:eastAsiaTheme="minorHAnsi"/>
        </w:rPr>
        <w:t xml:space="preserve"> 2023 and the licence became effective on July 25, 2023. The licence expires on December 31, 2027.</w:t>
      </w:r>
    </w:p>
    <w:p w14:paraId="1293778F" w14:textId="77777777" w:rsidR="009633AC" w:rsidRPr="00A52F2C" w:rsidRDefault="009633AC" w:rsidP="009633AC">
      <w:pPr>
        <w:pStyle w:val="ProspectusL2"/>
        <w:rPr>
          <w:rFonts w:eastAsiaTheme="minorHAnsi"/>
        </w:rPr>
      </w:pPr>
      <w:r w:rsidRPr="00A52F2C">
        <w:rPr>
          <w:rFonts w:eastAsiaTheme="minorHAnsi"/>
        </w:rPr>
        <w:t>Nunarsuit</w:t>
      </w:r>
    </w:p>
    <w:p w14:paraId="3E5E5D06" w14:textId="77777777" w:rsidR="009633AC" w:rsidRDefault="009633AC" w:rsidP="009633AC">
      <w:pPr>
        <w:pStyle w:val="ProspectusCont2"/>
        <w:rPr>
          <w:rFonts w:eastAsiaTheme="minorHAnsi"/>
        </w:rPr>
      </w:pPr>
      <w:r w:rsidRPr="00A52F2C">
        <w:rPr>
          <w:rFonts w:eastAsiaTheme="minorHAnsi"/>
        </w:rPr>
        <w:t>The Corporation has been granted exclusive exploration rights under a Mineral Exploration Licence in South Greenland, licence 2023-70 covering an area of 1,567.15 km</w:t>
      </w:r>
      <w:r w:rsidRPr="00A52F2C">
        <w:rPr>
          <w:rFonts w:eastAsiaTheme="minorHAnsi"/>
          <w:vertAlign w:val="superscript"/>
        </w:rPr>
        <w:t>2</w:t>
      </w:r>
      <w:r w:rsidRPr="00A52F2C">
        <w:rPr>
          <w:rFonts w:eastAsiaTheme="minorHAnsi"/>
        </w:rPr>
        <w:t>. The licence application has been approved and all required documentation was signed by the Corporation on June 30, 2023, and the licence became effective on July 25, 2023. The licence expires on December 31, 2027.</w:t>
      </w:r>
    </w:p>
    <w:p w14:paraId="4523923C" w14:textId="77777777" w:rsidR="009633AC" w:rsidRDefault="009633AC" w:rsidP="009633AC">
      <w:pPr>
        <w:pStyle w:val="ProspectusCont2"/>
        <w:rPr>
          <w:rFonts w:eastAsiaTheme="minorHAnsi"/>
          <w:lang w:val="en-GB" w:eastAsia="is-IS"/>
        </w:rPr>
      </w:pPr>
      <w:r w:rsidRPr="00A52F2C">
        <w:rPr>
          <w:rFonts w:eastAsiaTheme="minorHAnsi"/>
          <w:b/>
          <w:lang w:val="en-GB" w:eastAsia="is-IS"/>
        </w:rPr>
        <w:t>Johan Dahl Land</w:t>
      </w:r>
      <w:r w:rsidRPr="00A52F2C">
        <w:rPr>
          <w:rFonts w:eastAsiaTheme="minorHAnsi"/>
          <w:lang w:val="en-GB" w:eastAsia="is-IS"/>
        </w:rPr>
        <w:t xml:space="preserve"> licence is currently in the application process with the MLSA.</w:t>
      </w:r>
    </w:p>
    <w:p w14:paraId="00ADE696" w14:textId="77777777" w:rsidR="009633AC" w:rsidRDefault="009633AC" w:rsidP="009633AC">
      <w:pPr>
        <w:pStyle w:val="ProspectusCont2"/>
        <w:rPr>
          <w:rFonts w:eastAsiaTheme="minorHAnsi"/>
          <w:lang w:val="en-GB" w:eastAsia="is-IS"/>
        </w:rPr>
      </w:pPr>
      <w:r w:rsidRPr="00A52F2C">
        <w:rPr>
          <w:rFonts w:eastAsiaTheme="minorHAnsi"/>
          <w:lang w:val="en-GB" w:eastAsia="is-IS"/>
        </w:rPr>
        <w:t xml:space="preserve">Amaroq is keen to employ the latest exploration technologies. In 2022, the Corporation purchased a downhole optical televiewer which captures a continuous 360-degree high-resolution image of the borehole wall, and significantly enhances the speed, quantity and quality of structural data which can be collected during diamond drilling. This has been particularly effective on the Nalunaq project where structural data is being incorporated into and refining </w:t>
      </w:r>
      <w:r>
        <w:rPr>
          <w:rFonts w:eastAsiaTheme="minorHAnsi"/>
          <w:lang w:val="en-GB" w:eastAsia="is-IS"/>
        </w:rPr>
        <w:t>mineralization</w:t>
      </w:r>
      <w:r w:rsidRPr="00A52F2C">
        <w:rPr>
          <w:rFonts w:eastAsiaTheme="minorHAnsi"/>
          <w:lang w:val="en-GB" w:eastAsia="is-IS"/>
        </w:rPr>
        <w:t xml:space="preserve"> models. The Corporation has also purchased a portable XRF analyzer which will enable rapid indicative geochemical assays and improve the speed at which targets can be assessed during short field seasons.</w:t>
      </w:r>
    </w:p>
    <w:p w14:paraId="2A73B35A" w14:textId="77777777" w:rsidR="009633AC" w:rsidRPr="00A52F2C" w:rsidRDefault="009633AC" w:rsidP="009633AC">
      <w:pPr>
        <w:pStyle w:val="ProspectusCont2"/>
        <w:rPr>
          <w:rFonts w:eastAsiaTheme="minorHAnsi"/>
          <w:lang w:val="en-GB" w:eastAsia="is-IS"/>
        </w:rPr>
      </w:pPr>
      <w:r w:rsidRPr="00A52F2C">
        <w:rPr>
          <w:rFonts w:eastAsiaTheme="minorHAnsi"/>
          <w:lang w:val="en-GB" w:eastAsia="is-IS"/>
        </w:rPr>
        <w:t>The Corporation may apply for further licences in due course.</w:t>
      </w:r>
    </w:p>
    <w:p w14:paraId="33B459A4" w14:textId="77777777" w:rsidR="009633AC" w:rsidRPr="00124878" w:rsidRDefault="009633AC" w:rsidP="009633AC">
      <w:pPr>
        <w:pStyle w:val="ProspectusL1"/>
      </w:pPr>
      <w:bookmarkStart w:id="75" w:name="_Toc161911188"/>
      <w:r w:rsidRPr="00124878">
        <w:t>DIVIDENDS AND DISTRIBUTION</w:t>
      </w:r>
      <w:bookmarkEnd w:id="73"/>
      <w:bookmarkEnd w:id="74"/>
      <w:bookmarkEnd w:id="75"/>
    </w:p>
    <w:p w14:paraId="28DFB4AB" w14:textId="77777777" w:rsidR="009633AC" w:rsidRDefault="009633AC" w:rsidP="009633AC">
      <w:pPr>
        <w:pStyle w:val="ProspectusCont1"/>
      </w:pPr>
      <w:r w:rsidRPr="005C7985">
        <w:t xml:space="preserve">The </w:t>
      </w:r>
      <w:r>
        <w:t>Corporation</w:t>
      </w:r>
      <w:r w:rsidRPr="005C7985">
        <w:t xml:space="preserve"> has no </w:t>
      </w:r>
      <w:r w:rsidRPr="000A722B">
        <w:t>dividend policy and has not paid any dividends since its incorporation.</w:t>
      </w:r>
    </w:p>
    <w:p w14:paraId="2922DC47" w14:textId="77777777" w:rsidR="009633AC" w:rsidRPr="000A722B" w:rsidRDefault="009633AC" w:rsidP="009633AC">
      <w:pPr>
        <w:pStyle w:val="ProspectusCont1"/>
        <w:rPr>
          <w:lang w:val="en-US"/>
        </w:rPr>
      </w:pPr>
      <w:r w:rsidRPr="000A722B">
        <w:rPr>
          <w:lang w:val="en-US"/>
        </w:rPr>
        <w:t xml:space="preserve">Whilst the </w:t>
      </w:r>
      <w:r>
        <w:rPr>
          <w:lang w:val="en-US"/>
        </w:rPr>
        <w:t>d</w:t>
      </w:r>
      <w:r w:rsidRPr="000A722B">
        <w:rPr>
          <w:lang w:val="en-US"/>
        </w:rPr>
        <w:t xml:space="preserve">irectors propose that earnings are re-invested into the development of the </w:t>
      </w:r>
      <w:r>
        <w:rPr>
          <w:lang w:val="en-US"/>
        </w:rPr>
        <w:t>Corporation'</w:t>
      </w:r>
      <w:r w:rsidRPr="000A722B">
        <w:rPr>
          <w:lang w:val="en-US"/>
        </w:rPr>
        <w:t xml:space="preserve">s asset base in the short to medium term, the </w:t>
      </w:r>
      <w:r>
        <w:rPr>
          <w:lang w:val="en-US"/>
        </w:rPr>
        <w:t>b</w:t>
      </w:r>
      <w:r w:rsidRPr="000A722B">
        <w:rPr>
          <w:lang w:val="en-US"/>
        </w:rPr>
        <w:t>oard</w:t>
      </w:r>
      <w:r>
        <w:rPr>
          <w:lang w:val="en-US"/>
        </w:rPr>
        <w:t xml:space="preserve"> of directors</w:t>
      </w:r>
      <w:r w:rsidRPr="000A722B">
        <w:rPr>
          <w:lang w:val="en-US"/>
        </w:rPr>
        <w:t xml:space="preserve"> will consider commencing the payment of dividends as and when the development and profitability of the </w:t>
      </w:r>
      <w:r>
        <w:rPr>
          <w:lang w:val="en-US"/>
        </w:rPr>
        <w:t>Corporation</w:t>
      </w:r>
      <w:r w:rsidRPr="000A722B">
        <w:rPr>
          <w:lang w:val="en-US"/>
        </w:rPr>
        <w:t xml:space="preserve"> allows and the </w:t>
      </w:r>
      <w:r>
        <w:rPr>
          <w:lang w:val="en-US"/>
        </w:rPr>
        <w:t>b</w:t>
      </w:r>
      <w:r w:rsidRPr="000A722B">
        <w:rPr>
          <w:lang w:val="en-US"/>
        </w:rPr>
        <w:t xml:space="preserve">oard considers it commercially prudent to do so. The declaration and payment of dividends and the quantum of such dividends will, in any event, be dependent upon the </w:t>
      </w:r>
      <w:r>
        <w:rPr>
          <w:lang w:val="en-US"/>
        </w:rPr>
        <w:t>Corporation'</w:t>
      </w:r>
      <w:r w:rsidRPr="000A722B">
        <w:rPr>
          <w:lang w:val="en-US"/>
        </w:rPr>
        <w:t xml:space="preserve">s financial condition, cash requirements and future prospects, the level of profits available for distribution and other factors regarded by the </w:t>
      </w:r>
      <w:r>
        <w:rPr>
          <w:lang w:val="en-US"/>
        </w:rPr>
        <w:t>b</w:t>
      </w:r>
      <w:r w:rsidRPr="000A722B">
        <w:rPr>
          <w:lang w:val="en-US"/>
        </w:rPr>
        <w:t xml:space="preserve">oard as relevant at the time. The </w:t>
      </w:r>
      <w:r>
        <w:rPr>
          <w:lang w:val="en-US"/>
        </w:rPr>
        <w:t>Corporation</w:t>
      </w:r>
      <w:r w:rsidRPr="000A722B">
        <w:rPr>
          <w:lang w:val="en-US"/>
        </w:rPr>
        <w:t xml:space="preserve"> has not yet paid any dividends</w:t>
      </w:r>
      <w:r>
        <w:rPr>
          <w:lang w:val="en-US"/>
        </w:rPr>
        <w:t>.</w:t>
      </w:r>
      <w:r w:rsidRPr="000A722B">
        <w:rPr>
          <w:lang w:val="en-US"/>
        </w:rPr>
        <w:t xml:space="preserve"> Except as set out in the CBCA, there are no restrictions in the Corporation's articles or by-laws or pursuant to any agreement or understanding which could prevent the Corporation from paying dividends. </w:t>
      </w:r>
    </w:p>
    <w:p w14:paraId="39694AF3" w14:textId="77777777" w:rsidR="009633AC" w:rsidRPr="00124878" w:rsidRDefault="009633AC" w:rsidP="009633AC">
      <w:pPr>
        <w:pStyle w:val="ProspectusL1"/>
      </w:pPr>
      <w:bookmarkStart w:id="76" w:name="_Toc42803794"/>
      <w:bookmarkStart w:id="77" w:name="_Toc57649491"/>
      <w:bookmarkStart w:id="78" w:name="_Toc161911189"/>
      <w:r w:rsidRPr="00124878">
        <w:t>DESCRIPTION OF THE SHARE CAPITAL</w:t>
      </w:r>
      <w:bookmarkEnd w:id="76"/>
      <w:bookmarkEnd w:id="77"/>
      <w:bookmarkEnd w:id="78"/>
    </w:p>
    <w:p w14:paraId="176D227C" w14:textId="77777777" w:rsidR="009633AC" w:rsidRPr="00124878" w:rsidRDefault="009633AC" w:rsidP="009633AC">
      <w:pPr>
        <w:pStyle w:val="ProspectusL2"/>
      </w:pPr>
      <w:r>
        <w:t>Common Shares</w:t>
      </w:r>
    </w:p>
    <w:p w14:paraId="50D0B4E1" w14:textId="77777777" w:rsidR="009633AC" w:rsidRDefault="009633AC" w:rsidP="009633AC">
      <w:pPr>
        <w:pStyle w:val="ProspectusCont2"/>
      </w:pPr>
      <w:r w:rsidRPr="00150250">
        <w:t xml:space="preserve">The </w:t>
      </w:r>
      <w:r>
        <w:t>Corporation is authorized to issue an</w:t>
      </w:r>
      <w:r w:rsidRPr="00150250">
        <w:t xml:space="preserve"> unlimited number of Common Shares</w:t>
      </w:r>
      <w:r>
        <w:t>, of which 326,455,446</w:t>
      </w:r>
      <w:r w:rsidRPr="00150250">
        <w:rPr>
          <w:b/>
        </w:rPr>
        <w:t xml:space="preserve"> </w:t>
      </w:r>
      <w:r w:rsidRPr="00E0123C">
        <w:rPr>
          <w:bCs/>
        </w:rPr>
        <w:t>Commo</w:t>
      </w:r>
      <w:r>
        <w:rPr>
          <w:bCs/>
        </w:rPr>
        <w:t>n</w:t>
      </w:r>
      <w:r w:rsidRPr="00150250">
        <w:t xml:space="preserve"> Shares</w:t>
      </w:r>
      <w:r>
        <w:t xml:space="preserve"> are</w:t>
      </w:r>
      <w:r w:rsidRPr="00150250">
        <w:t xml:space="preserve"> issued and outstanding</w:t>
      </w:r>
      <w:r>
        <w:t xml:space="preserve"> as of March 26, 2024</w:t>
      </w:r>
      <w:r w:rsidRPr="00150250">
        <w:t>.</w:t>
      </w:r>
    </w:p>
    <w:p w14:paraId="71B800AA" w14:textId="77777777" w:rsidR="009633AC" w:rsidRDefault="009633AC" w:rsidP="009633AC">
      <w:pPr>
        <w:pStyle w:val="ProspectusCont2"/>
        <w:rPr>
          <w:lang w:val="en-US"/>
        </w:rPr>
      </w:pPr>
      <w:r w:rsidRPr="006012A2">
        <w:rPr>
          <w:lang w:val="en-US"/>
        </w:rPr>
        <w:t xml:space="preserve">All holders of Common Shares are entitled to receive notice of any meetings of shareholders of the Corporation, and to attend and cast one vote per Common Share at all such meetings, except meetings at which only holders of a specified class or series of shares are entitled to vote. Subject to the CBCA, holders of Common Shares are, in each financial year of the Corporation, in the discretion of the board of directors of the Corporation, entitled to receive, subject to the rights of the holders of any other class of shares, any non-cumulative dividend declared by the Corporation. Upon the liquidation, dissolution or winding up of the Corporation, whether voluntary or involuntary, or </w:t>
      </w:r>
      <w:r w:rsidRPr="006012A2">
        <w:rPr>
          <w:lang w:val="en-US"/>
        </w:rPr>
        <w:lastRenderedPageBreak/>
        <w:t>any other distribution of the assets of the Corporation among its shareholders for the purposes of winding-up its affairs, holders of Common Shares are entitled to receive, subject to the rights of the holders of any other class of shares, the remaining property of the Corporation.</w:t>
      </w:r>
    </w:p>
    <w:p w14:paraId="3AFE6D4C" w14:textId="77777777" w:rsidR="009633AC" w:rsidRDefault="009633AC" w:rsidP="009633AC">
      <w:pPr>
        <w:pStyle w:val="ProspectusL2"/>
      </w:pPr>
      <w:r w:rsidRPr="00E0123C">
        <w:t>Preferred Shares</w:t>
      </w:r>
    </w:p>
    <w:p w14:paraId="4DB3DA0B" w14:textId="77777777" w:rsidR="009633AC" w:rsidRDefault="009633AC" w:rsidP="009633AC">
      <w:pPr>
        <w:pStyle w:val="ProspectusCont2"/>
      </w:pPr>
      <w:r w:rsidRPr="00150250">
        <w:t xml:space="preserve">The </w:t>
      </w:r>
      <w:r>
        <w:t>Corporation is authorized to issue an</w:t>
      </w:r>
      <w:r w:rsidRPr="00150250">
        <w:t xml:space="preserve"> unlimited number of </w:t>
      </w:r>
      <w:r>
        <w:t>preferred shares, of which no preferred shares are</w:t>
      </w:r>
      <w:r w:rsidRPr="00150250">
        <w:t xml:space="preserve"> issued and outstanding</w:t>
      </w:r>
      <w:r>
        <w:t xml:space="preserve"> as of March 26, 2024</w:t>
      </w:r>
      <w:r w:rsidRPr="00150250">
        <w:t>.</w:t>
      </w:r>
    </w:p>
    <w:p w14:paraId="07C0C53F" w14:textId="77777777" w:rsidR="009633AC" w:rsidRDefault="009633AC" w:rsidP="009633AC">
      <w:pPr>
        <w:pStyle w:val="ProspectusCont2"/>
        <w:rPr>
          <w:lang w:val="en-US"/>
        </w:rPr>
      </w:pPr>
      <w:r w:rsidRPr="001727FB">
        <w:rPr>
          <w:lang w:val="en-US"/>
        </w:rPr>
        <w:t xml:space="preserve">The </w:t>
      </w:r>
      <w:r>
        <w:rPr>
          <w:lang w:val="en-US"/>
        </w:rPr>
        <w:t>b</w:t>
      </w:r>
      <w:r w:rsidRPr="001727FB">
        <w:rPr>
          <w:lang w:val="en-US"/>
        </w:rPr>
        <w:t>oard of directors of the Corporation</w:t>
      </w:r>
      <w:r>
        <w:rPr>
          <w:lang w:val="en-US"/>
        </w:rPr>
        <w:t xml:space="preserve"> </w:t>
      </w:r>
      <w:r w:rsidRPr="001727FB">
        <w:rPr>
          <w:lang w:val="en-US"/>
        </w:rPr>
        <w:t xml:space="preserve">may issue the </w:t>
      </w:r>
      <w:r>
        <w:rPr>
          <w:lang w:val="en-US"/>
        </w:rPr>
        <w:t>p</w:t>
      </w:r>
      <w:r w:rsidRPr="001727FB">
        <w:rPr>
          <w:lang w:val="en-US"/>
        </w:rPr>
        <w:t>referred shares at any time and from time to time in one or more</w:t>
      </w:r>
      <w:r>
        <w:rPr>
          <w:lang w:val="en-US"/>
        </w:rPr>
        <w:t xml:space="preserve"> </w:t>
      </w:r>
      <w:r w:rsidRPr="001727FB">
        <w:rPr>
          <w:lang w:val="en-US"/>
        </w:rPr>
        <w:t>series. Before the first shares of a particular series are issued, the board of directors</w:t>
      </w:r>
      <w:r>
        <w:rPr>
          <w:lang w:val="en-US"/>
        </w:rPr>
        <w:t xml:space="preserve"> </w:t>
      </w:r>
      <w:r w:rsidRPr="001727FB">
        <w:rPr>
          <w:lang w:val="en-US"/>
        </w:rPr>
        <w:t xml:space="preserve">of the Corporation </w:t>
      </w:r>
      <w:r>
        <w:rPr>
          <w:lang w:val="en-US"/>
        </w:rPr>
        <w:t>shall</w:t>
      </w:r>
      <w:r w:rsidRPr="001727FB">
        <w:rPr>
          <w:lang w:val="en-US"/>
        </w:rPr>
        <w:t xml:space="preserve"> fix the number of shares in such series and shall determine,</w:t>
      </w:r>
      <w:r>
        <w:rPr>
          <w:lang w:val="en-US"/>
        </w:rPr>
        <w:t xml:space="preserve"> </w:t>
      </w:r>
      <w:r w:rsidRPr="001727FB">
        <w:rPr>
          <w:lang w:val="en-US"/>
        </w:rPr>
        <w:t>subject to the limitations set out in the articles, the designation, rights, privileges,</w:t>
      </w:r>
      <w:r>
        <w:rPr>
          <w:lang w:val="en-US"/>
        </w:rPr>
        <w:t xml:space="preserve"> </w:t>
      </w:r>
      <w:r w:rsidRPr="001727FB">
        <w:rPr>
          <w:lang w:val="en-US"/>
        </w:rPr>
        <w:t>restrictions and conditions to attach to the shares of such series including, without</w:t>
      </w:r>
      <w:r>
        <w:rPr>
          <w:lang w:val="en-US"/>
        </w:rPr>
        <w:t xml:space="preserve"> </w:t>
      </w:r>
      <w:r w:rsidRPr="001727FB">
        <w:rPr>
          <w:lang w:val="en-US"/>
        </w:rPr>
        <w:t>limiting the generality of the foregoing, the rate or rates, amount or method or</w:t>
      </w:r>
      <w:r>
        <w:rPr>
          <w:lang w:val="en-US"/>
        </w:rPr>
        <w:t xml:space="preserve"> </w:t>
      </w:r>
      <w:r w:rsidRPr="001727FB">
        <w:rPr>
          <w:lang w:val="en-US"/>
        </w:rPr>
        <w:t>methods of calculation of preferential dividends, whether cumulative or noncumulative</w:t>
      </w:r>
      <w:r>
        <w:rPr>
          <w:lang w:val="en-US"/>
        </w:rPr>
        <w:t xml:space="preserve"> </w:t>
      </w:r>
      <w:r w:rsidRPr="001727FB">
        <w:rPr>
          <w:lang w:val="en-US"/>
        </w:rPr>
        <w:t>or partially cumulative, and whether such rate(s), amount or method(s) of</w:t>
      </w:r>
      <w:r>
        <w:rPr>
          <w:lang w:val="en-US"/>
        </w:rPr>
        <w:t xml:space="preserve"> </w:t>
      </w:r>
      <w:r w:rsidRPr="001727FB">
        <w:rPr>
          <w:lang w:val="en-US"/>
        </w:rPr>
        <w:t>calculation shall be subject to change or adjustment in the future, the currency or</w:t>
      </w:r>
      <w:r>
        <w:rPr>
          <w:lang w:val="en-US"/>
        </w:rPr>
        <w:t xml:space="preserve"> </w:t>
      </w:r>
      <w:r w:rsidRPr="001727FB">
        <w:rPr>
          <w:lang w:val="en-US"/>
        </w:rPr>
        <w:t>currencies of payment, the date or dates and place or places of payment thereof and</w:t>
      </w:r>
      <w:r>
        <w:rPr>
          <w:lang w:val="en-US"/>
        </w:rPr>
        <w:t xml:space="preserve"> </w:t>
      </w:r>
      <w:r w:rsidRPr="001727FB">
        <w:rPr>
          <w:lang w:val="en-US"/>
        </w:rPr>
        <w:t>the date or dates from which such preferential dividends shall accrue, the redemption</w:t>
      </w:r>
      <w:r>
        <w:rPr>
          <w:lang w:val="en-US"/>
        </w:rPr>
        <w:t xml:space="preserve"> </w:t>
      </w:r>
      <w:r w:rsidRPr="001727FB">
        <w:rPr>
          <w:lang w:val="en-US"/>
        </w:rPr>
        <w:t>price and terms and conditions of redemption (if any), the rights of retraction (if any),</w:t>
      </w:r>
      <w:r>
        <w:rPr>
          <w:lang w:val="en-US"/>
        </w:rPr>
        <w:t xml:space="preserve"> </w:t>
      </w:r>
      <w:r w:rsidRPr="001727FB">
        <w:rPr>
          <w:lang w:val="en-US"/>
        </w:rPr>
        <w:t>and the prices and other terms and conditions of any rights of retraction and whether</w:t>
      </w:r>
      <w:r>
        <w:rPr>
          <w:lang w:val="en-US"/>
        </w:rPr>
        <w:t xml:space="preserve"> </w:t>
      </w:r>
      <w:r w:rsidRPr="001727FB">
        <w:rPr>
          <w:lang w:val="en-US"/>
        </w:rPr>
        <w:t>any additional rights of retraction may be vested in such holders in the future, voting</w:t>
      </w:r>
      <w:r>
        <w:rPr>
          <w:lang w:val="en-US"/>
        </w:rPr>
        <w:t xml:space="preserve"> </w:t>
      </w:r>
      <w:r w:rsidRPr="001727FB">
        <w:rPr>
          <w:lang w:val="en-US"/>
        </w:rPr>
        <w:t>rights and conversion or exchange rights (if any) and any sinking fund, purchase fund</w:t>
      </w:r>
      <w:r>
        <w:rPr>
          <w:lang w:val="en-US"/>
        </w:rPr>
        <w:t xml:space="preserve"> </w:t>
      </w:r>
      <w:r w:rsidRPr="001727FB">
        <w:rPr>
          <w:lang w:val="en-US"/>
        </w:rPr>
        <w:t>or other provisions attaching thereto.</w:t>
      </w:r>
    </w:p>
    <w:p w14:paraId="095BAEEC" w14:textId="77777777" w:rsidR="009633AC" w:rsidRDefault="009633AC" w:rsidP="009633AC">
      <w:pPr>
        <w:pStyle w:val="ProspectusCont2"/>
        <w:rPr>
          <w:lang w:val="en-US"/>
        </w:rPr>
      </w:pPr>
      <w:r>
        <w:rPr>
          <w:lang w:val="en-US"/>
        </w:rPr>
        <w:t>The preferred shares</w:t>
      </w:r>
      <w:r w:rsidRPr="00A52F2C">
        <w:rPr>
          <w:lang w:val="en-US"/>
        </w:rPr>
        <w:t xml:space="preserve"> of </w:t>
      </w:r>
      <w:r w:rsidRPr="006012A2">
        <w:rPr>
          <w:lang w:val="en-US"/>
        </w:rPr>
        <w:t>each series shall rank on a parity with the</w:t>
      </w:r>
      <w:r>
        <w:rPr>
          <w:lang w:val="en-US"/>
        </w:rPr>
        <w:t xml:space="preserve"> p</w:t>
      </w:r>
      <w:r w:rsidRPr="006012A2">
        <w:rPr>
          <w:lang w:val="en-US"/>
        </w:rPr>
        <w:t>referred shares of every other series with respect to priority in the payment of</w:t>
      </w:r>
      <w:r>
        <w:rPr>
          <w:lang w:val="en-US"/>
        </w:rPr>
        <w:t xml:space="preserve"> </w:t>
      </w:r>
      <w:r w:rsidRPr="006012A2">
        <w:rPr>
          <w:lang w:val="en-US"/>
        </w:rPr>
        <w:t>dividends and the return of capital and the distribution of assets of the Corporation in</w:t>
      </w:r>
      <w:r>
        <w:rPr>
          <w:lang w:val="en-US"/>
        </w:rPr>
        <w:t xml:space="preserve"> </w:t>
      </w:r>
      <w:r w:rsidRPr="006012A2">
        <w:rPr>
          <w:lang w:val="en-US"/>
        </w:rPr>
        <w:t>the event of the liquidation, dissolution or winding-up of the Corporation, whether</w:t>
      </w:r>
      <w:r>
        <w:rPr>
          <w:lang w:val="en-US"/>
        </w:rPr>
        <w:t xml:space="preserve"> </w:t>
      </w:r>
      <w:r w:rsidRPr="006012A2">
        <w:rPr>
          <w:lang w:val="en-US"/>
        </w:rPr>
        <w:t>voluntary or involuntary, or any other distribution of the assets of the Corporation</w:t>
      </w:r>
      <w:r>
        <w:rPr>
          <w:lang w:val="en-US"/>
        </w:rPr>
        <w:t xml:space="preserve"> </w:t>
      </w:r>
      <w:r w:rsidRPr="006012A2">
        <w:rPr>
          <w:lang w:val="en-US"/>
        </w:rPr>
        <w:t xml:space="preserve">among its shareholders for the purpose of winding-up its affairs. The </w:t>
      </w:r>
      <w:r>
        <w:rPr>
          <w:lang w:val="en-US"/>
        </w:rPr>
        <w:t>p</w:t>
      </w:r>
      <w:r w:rsidRPr="006012A2">
        <w:rPr>
          <w:lang w:val="en-US"/>
        </w:rPr>
        <w:t>referred</w:t>
      </w:r>
      <w:r>
        <w:rPr>
          <w:lang w:val="en-US"/>
        </w:rPr>
        <w:t xml:space="preserve"> </w:t>
      </w:r>
      <w:r w:rsidRPr="006012A2">
        <w:rPr>
          <w:lang w:val="en-US"/>
        </w:rPr>
        <w:t>shares of any series may also be given preferences, not inconsistent with the</w:t>
      </w:r>
      <w:r>
        <w:rPr>
          <w:lang w:val="en-US"/>
        </w:rPr>
        <w:t xml:space="preserve"> </w:t>
      </w:r>
      <w:r w:rsidRPr="006012A2">
        <w:rPr>
          <w:lang w:val="en-US"/>
        </w:rPr>
        <w:t xml:space="preserve">articles, over the Common </w:t>
      </w:r>
      <w:r>
        <w:rPr>
          <w:lang w:val="en-US"/>
        </w:rPr>
        <w:t>S</w:t>
      </w:r>
      <w:r w:rsidRPr="006012A2">
        <w:rPr>
          <w:lang w:val="en-US"/>
        </w:rPr>
        <w:t>hares and any other shares of the Corporation ranking</w:t>
      </w:r>
      <w:r>
        <w:rPr>
          <w:lang w:val="en-US"/>
        </w:rPr>
        <w:t xml:space="preserve"> </w:t>
      </w:r>
      <w:r w:rsidRPr="006012A2">
        <w:rPr>
          <w:lang w:val="en-US"/>
        </w:rPr>
        <w:t xml:space="preserve">junior to the </w:t>
      </w:r>
      <w:r>
        <w:rPr>
          <w:lang w:val="en-US"/>
        </w:rPr>
        <w:t>p</w:t>
      </w:r>
      <w:r w:rsidRPr="006012A2">
        <w:rPr>
          <w:lang w:val="en-US"/>
        </w:rPr>
        <w:t xml:space="preserve">referred shares as may be fixed in accordance with </w:t>
      </w:r>
      <w:r>
        <w:rPr>
          <w:lang w:val="en-US"/>
        </w:rPr>
        <w:t>the articles</w:t>
      </w:r>
      <w:r w:rsidRPr="006012A2">
        <w:rPr>
          <w:lang w:val="en-US"/>
        </w:rPr>
        <w:t>.</w:t>
      </w:r>
    </w:p>
    <w:p w14:paraId="1D524D95" w14:textId="77777777" w:rsidR="009633AC" w:rsidRDefault="009633AC" w:rsidP="009633AC">
      <w:pPr>
        <w:pStyle w:val="ProspectusCont2"/>
        <w:rPr>
          <w:lang w:val="en-US"/>
        </w:rPr>
      </w:pPr>
      <w:r w:rsidRPr="006012A2">
        <w:rPr>
          <w:lang w:val="en-US"/>
        </w:rPr>
        <w:t>If any cumulative dividends, whether or not declared, or</w:t>
      </w:r>
      <w:r>
        <w:rPr>
          <w:lang w:val="en-US"/>
        </w:rPr>
        <w:t xml:space="preserve"> </w:t>
      </w:r>
      <w:r w:rsidRPr="006012A2">
        <w:rPr>
          <w:lang w:val="en-US"/>
        </w:rPr>
        <w:t>declared non-cumulative dividends or amounts payable on a return of capital in</w:t>
      </w:r>
      <w:r>
        <w:rPr>
          <w:lang w:val="en-US"/>
        </w:rPr>
        <w:t xml:space="preserve"> </w:t>
      </w:r>
      <w:r w:rsidRPr="006012A2">
        <w:rPr>
          <w:lang w:val="en-US"/>
        </w:rPr>
        <w:t xml:space="preserve">respect of a series of </w:t>
      </w:r>
      <w:r>
        <w:rPr>
          <w:lang w:val="en-US"/>
        </w:rPr>
        <w:t>p</w:t>
      </w:r>
      <w:r w:rsidRPr="006012A2">
        <w:rPr>
          <w:lang w:val="en-US"/>
        </w:rPr>
        <w:t xml:space="preserve">referred shares is not paid in full, the </w:t>
      </w:r>
      <w:r>
        <w:rPr>
          <w:lang w:val="en-US"/>
        </w:rPr>
        <w:t>p</w:t>
      </w:r>
      <w:r w:rsidRPr="006012A2">
        <w:rPr>
          <w:lang w:val="en-US"/>
        </w:rPr>
        <w:t>referred shares of all</w:t>
      </w:r>
      <w:r>
        <w:rPr>
          <w:lang w:val="en-US"/>
        </w:rPr>
        <w:t xml:space="preserve"> </w:t>
      </w:r>
      <w:r w:rsidRPr="006012A2">
        <w:rPr>
          <w:lang w:val="en-US"/>
        </w:rPr>
        <w:t>series shall participate rateably in respect of such dividends, including in</w:t>
      </w:r>
      <w:r>
        <w:rPr>
          <w:lang w:val="en-US"/>
        </w:rPr>
        <w:t xml:space="preserve"> </w:t>
      </w:r>
      <w:r w:rsidRPr="006012A2">
        <w:rPr>
          <w:lang w:val="en-US"/>
        </w:rPr>
        <w:t>accumulations, if any, in accordance with the sums that would be payable on such</w:t>
      </w:r>
      <w:r>
        <w:rPr>
          <w:lang w:val="en-US"/>
        </w:rPr>
        <w:t xml:space="preserve"> </w:t>
      </w:r>
      <w:r w:rsidRPr="006012A2">
        <w:rPr>
          <w:lang w:val="en-US"/>
        </w:rPr>
        <w:t>shares if all such dividends were declared and paid in full, and in respect of any</w:t>
      </w:r>
      <w:r>
        <w:rPr>
          <w:lang w:val="en-US"/>
        </w:rPr>
        <w:t xml:space="preserve"> </w:t>
      </w:r>
      <w:r w:rsidRPr="006012A2">
        <w:rPr>
          <w:lang w:val="en-US"/>
        </w:rPr>
        <w:t>repayment of capital in accordance with the sums that would be payable on such</w:t>
      </w:r>
      <w:r>
        <w:rPr>
          <w:lang w:val="en-US"/>
        </w:rPr>
        <w:t xml:space="preserve"> </w:t>
      </w:r>
      <w:r w:rsidRPr="006012A2">
        <w:rPr>
          <w:lang w:val="en-US"/>
        </w:rPr>
        <w:t>repayment of capital if all sums so payable were paid in full; provided, however, that</w:t>
      </w:r>
      <w:r>
        <w:rPr>
          <w:lang w:val="en-US"/>
        </w:rPr>
        <w:t xml:space="preserve"> </w:t>
      </w:r>
      <w:r w:rsidRPr="006012A2">
        <w:rPr>
          <w:lang w:val="en-US"/>
        </w:rPr>
        <w:t>in the event of there being insufficient assets to satisfy in full all such claims to</w:t>
      </w:r>
      <w:r>
        <w:rPr>
          <w:lang w:val="en-US"/>
        </w:rPr>
        <w:t xml:space="preserve"> </w:t>
      </w:r>
      <w:r w:rsidRPr="006012A2">
        <w:rPr>
          <w:lang w:val="en-US"/>
        </w:rPr>
        <w:t xml:space="preserve">dividends and return of capital, the claims of the holders of the </w:t>
      </w:r>
      <w:r>
        <w:rPr>
          <w:lang w:val="en-US"/>
        </w:rPr>
        <w:t>p</w:t>
      </w:r>
      <w:r w:rsidRPr="006012A2">
        <w:rPr>
          <w:lang w:val="en-US"/>
        </w:rPr>
        <w:t>referred shares with</w:t>
      </w:r>
      <w:r>
        <w:rPr>
          <w:lang w:val="en-US"/>
        </w:rPr>
        <w:t xml:space="preserve"> </w:t>
      </w:r>
      <w:r w:rsidRPr="006012A2">
        <w:rPr>
          <w:lang w:val="en-US"/>
        </w:rPr>
        <w:t>respect to repayment of capital shall first be paid and satisfied and any assets</w:t>
      </w:r>
      <w:r>
        <w:rPr>
          <w:lang w:val="en-US"/>
        </w:rPr>
        <w:t xml:space="preserve"> </w:t>
      </w:r>
      <w:r w:rsidRPr="006012A2">
        <w:rPr>
          <w:lang w:val="en-US"/>
        </w:rPr>
        <w:t>remaining thereafter shall be applied towards the payment and satisfaction of claims</w:t>
      </w:r>
      <w:r>
        <w:rPr>
          <w:lang w:val="en-US"/>
        </w:rPr>
        <w:t xml:space="preserve"> </w:t>
      </w:r>
      <w:r w:rsidRPr="006012A2">
        <w:rPr>
          <w:lang w:val="en-US"/>
        </w:rPr>
        <w:t>in respect of dividends.</w:t>
      </w:r>
    </w:p>
    <w:p w14:paraId="7977094B" w14:textId="77777777" w:rsidR="009633AC" w:rsidRDefault="009633AC" w:rsidP="009633AC">
      <w:pPr>
        <w:pStyle w:val="ProspectusL2"/>
      </w:pPr>
      <w:r>
        <w:t>Stock Options</w:t>
      </w:r>
    </w:p>
    <w:p w14:paraId="66AC7CFA" w14:textId="77777777" w:rsidR="009633AC" w:rsidRDefault="009633AC" w:rsidP="009633AC">
      <w:pPr>
        <w:pStyle w:val="ProspectusCont2"/>
      </w:pPr>
      <w:r w:rsidRPr="00D53753">
        <w:t>As of March 26, 2024, there are 9,188,365</w:t>
      </w:r>
      <w:r>
        <w:t xml:space="preserve"> </w:t>
      </w:r>
      <w:r w:rsidRPr="00D53753">
        <w:t>Common Shares reserved for issuance pursuant to options granted by the Corporation under its stock option plan.</w:t>
      </w:r>
    </w:p>
    <w:p w14:paraId="0243710B" w14:textId="77777777" w:rsidR="009633AC" w:rsidRPr="00E0123C" w:rsidRDefault="009633AC" w:rsidP="009633AC">
      <w:pPr>
        <w:pStyle w:val="ProspectusL2"/>
      </w:pPr>
      <w:r w:rsidRPr="00E0123C">
        <w:t>Restricted Share Units</w:t>
      </w:r>
    </w:p>
    <w:p w14:paraId="70546DE3" w14:textId="77777777" w:rsidR="009633AC" w:rsidRPr="00A52F2C" w:rsidRDefault="009633AC" w:rsidP="009633AC">
      <w:pPr>
        <w:pStyle w:val="ProspectusCont2"/>
        <w:rPr>
          <w:rFonts w:eastAsiaTheme="minorHAnsi"/>
        </w:rPr>
      </w:pPr>
      <w:r w:rsidRPr="003060DA">
        <w:rPr>
          <w:rFonts w:eastAsiaTheme="minorHAnsi"/>
        </w:rPr>
        <w:t xml:space="preserve">As of March </w:t>
      </w:r>
      <w:r>
        <w:rPr>
          <w:rFonts w:eastAsiaTheme="minorHAnsi"/>
        </w:rPr>
        <w:t>26</w:t>
      </w:r>
      <w:r w:rsidRPr="003060DA">
        <w:rPr>
          <w:rFonts w:eastAsiaTheme="minorHAnsi"/>
        </w:rPr>
        <w:t xml:space="preserve">, 2024, there are </w:t>
      </w:r>
      <w:r w:rsidRPr="003C209B">
        <w:rPr>
          <w:rFonts w:eastAsiaTheme="minorHAnsi"/>
        </w:rPr>
        <w:t>8,562,097 Common</w:t>
      </w:r>
      <w:r w:rsidRPr="003060DA">
        <w:rPr>
          <w:rFonts w:eastAsiaTheme="minorHAnsi"/>
        </w:rPr>
        <w:t xml:space="preserve"> Shares reserved for issuance pursuant to restricted share units ("</w:t>
      </w:r>
      <w:r w:rsidRPr="003060DA">
        <w:rPr>
          <w:rFonts w:eastAsiaTheme="minorHAnsi"/>
          <w:b/>
          <w:bCs/>
        </w:rPr>
        <w:t>RSUs</w:t>
      </w:r>
      <w:r w:rsidRPr="003060DA">
        <w:rPr>
          <w:rFonts w:eastAsiaTheme="minorHAnsi"/>
        </w:rPr>
        <w:t xml:space="preserve">") granted to certain </w:t>
      </w:r>
      <w:r w:rsidRPr="00A414F4">
        <w:rPr>
          <w:rFonts w:eastAsiaTheme="minorHAnsi"/>
        </w:rPr>
        <w:t>directors, officers and employees</w:t>
      </w:r>
      <w:r w:rsidRPr="003060DA">
        <w:rPr>
          <w:rFonts w:eastAsiaTheme="minorHAnsi"/>
        </w:rPr>
        <w:t xml:space="preserve"> of the Corporation pursuant to the Corporation's restricted share unit plan. RSUs may be settled in cash, Common Shares, or a combination of cash and Common Shares, at the sole discretion of the Corporation.</w:t>
      </w:r>
    </w:p>
    <w:p w14:paraId="720894D3" w14:textId="77777777" w:rsidR="009633AC" w:rsidRPr="00952241" w:rsidRDefault="009633AC" w:rsidP="009633AC">
      <w:pPr>
        <w:pStyle w:val="ProspectusL2"/>
      </w:pPr>
      <w:r w:rsidRPr="00952241">
        <w:t>Convertible Notes</w:t>
      </w:r>
    </w:p>
    <w:p w14:paraId="4E42610E" w14:textId="77777777" w:rsidR="009633AC" w:rsidRDefault="009633AC" w:rsidP="009633AC">
      <w:pPr>
        <w:pStyle w:val="ProspectusCont2"/>
      </w:pPr>
      <w:r w:rsidRPr="00952241">
        <w:t xml:space="preserve">The Corporation has also reserved Common Shares for issuance in </w:t>
      </w:r>
      <w:r w:rsidRPr="000A722B">
        <w:t>connection with the Convertible Notes, the principal of which may be converted into Common Shares in accordance with its respective terms.</w:t>
      </w:r>
    </w:p>
    <w:p w14:paraId="63924068" w14:textId="77777777" w:rsidR="009633AC" w:rsidRPr="00580DD7" w:rsidRDefault="009633AC" w:rsidP="009633AC">
      <w:pPr>
        <w:pStyle w:val="ProspectusCont2"/>
        <w:rPr>
          <w:lang w:val="en-US"/>
        </w:rPr>
      </w:pPr>
      <w:r w:rsidRPr="000A722B">
        <w:rPr>
          <w:lang w:val="en-US"/>
        </w:rPr>
        <w:lastRenderedPageBreak/>
        <w:t>If the US$22.4 million principal amount of the Convertible Notes is converted in full, at the Conversion Price, a total of 33,629,068 Common Shares will be issuable. See "</w:t>
      </w:r>
      <w:r w:rsidRPr="000A722B">
        <w:rPr>
          <w:i/>
          <w:iCs/>
          <w:lang w:val="en-US"/>
        </w:rPr>
        <w:t>General Development of the Business – Three Year History</w:t>
      </w:r>
      <w:r w:rsidRPr="000A722B">
        <w:rPr>
          <w:lang w:val="en-US"/>
        </w:rPr>
        <w:t>".</w:t>
      </w:r>
      <w:bookmarkStart w:id="79" w:name="_Toc42803795"/>
      <w:bookmarkStart w:id="80" w:name="_Toc57649492"/>
    </w:p>
    <w:p w14:paraId="7CBDCC50" w14:textId="77777777" w:rsidR="009633AC" w:rsidRPr="00124878" w:rsidRDefault="009633AC" w:rsidP="009633AC">
      <w:pPr>
        <w:pStyle w:val="ProspectusL1"/>
      </w:pPr>
      <w:bookmarkStart w:id="81" w:name="_Toc161911190"/>
      <w:r w:rsidRPr="00124878">
        <w:t>MARKET FOR SECURITIES</w:t>
      </w:r>
      <w:bookmarkEnd w:id="79"/>
      <w:bookmarkEnd w:id="80"/>
      <w:bookmarkEnd w:id="81"/>
    </w:p>
    <w:p w14:paraId="185426E8" w14:textId="77777777" w:rsidR="009633AC" w:rsidRPr="00150250" w:rsidRDefault="009633AC" w:rsidP="009633AC">
      <w:pPr>
        <w:pStyle w:val="ProspectusCont1"/>
      </w:pPr>
      <w:r w:rsidRPr="00150250">
        <w:t>The Common Shares are listed for trading on the TSX-V Exchange</w:t>
      </w:r>
      <w:r>
        <w:t xml:space="preserve">, </w:t>
      </w:r>
      <w:r w:rsidRPr="002052FF">
        <w:t>AIM Market of the London Stock Exchange</w:t>
      </w:r>
      <w:r>
        <w:t xml:space="preserve"> and NASDAQ Iceland's main market under</w:t>
      </w:r>
      <w:r w:rsidRPr="00150250">
        <w:t xml:space="preserve"> the ticker "</w:t>
      </w:r>
      <w:r>
        <w:t>AMRQ</w:t>
      </w:r>
      <w:r w:rsidRPr="00150250">
        <w:t xml:space="preserve">". </w:t>
      </w:r>
    </w:p>
    <w:p w14:paraId="6F653FE9" w14:textId="77777777" w:rsidR="009633AC" w:rsidRPr="002052FF" w:rsidRDefault="009633AC" w:rsidP="009633AC">
      <w:pPr>
        <w:pStyle w:val="ProspectusL2"/>
      </w:pPr>
      <w:r w:rsidRPr="002052FF">
        <w:t>Trading Price and Volume</w:t>
      </w:r>
    </w:p>
    <w:p w14:paraId="1A51BF3D" w14:textId="77777777" w:rsidR="009633AC" w:rsidRPr="00150250" w:rsidRDefault="009633AC" w:rsidP="009633AC">
      <w:pPr>
        <w:pStyle w:val="ProspectusCont2"/>
      </w:pPr>
      <w:r w:rsidRPr="00150250">
        <w:t xml:space="preserve">The following tables set forth, for the periods indicated, the reported high and low daily trading prices and the aggregate volume of trading of the Common Shares on the TSX-V Exchange, the Canadian marketplace on which the greatest volume of trading or quotation generally occurs for the Corporation.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37"/>
        <w:gridCol w:w="2337"/>
        <w:gridCol w:w="2338"/>
      </w:tblGrid>
      <w:tr w:rsidR="009633AC" w:rsidRPr="00DD6027" w14:paraId="2ADBEC25" w14:textId="77777777" w:rsidTr="00E25A87">
        <w:trPr>
          <w:tblHeader/>
        </w:trPr>
        <w:tc>
          <w:tcPr>
            <w:tcW w:w="2338" w:type="dxa"/>
            <w:tcBorders>
              <w:top w:val="nil"/>
              <w:left w:val="nil"/>
              <w:bottom w:val="nil"/>
              <w:right w:val="nil"/>
            </w:tcBorders>
            <w:shd w:val="clear" w:color="auto" w:fill="auto"/>
            <w:vAlign w:val="bottom"/>
          </w:tcPr>
          <w:p w14:paraId="4D2248B9" w14:textId="77777777" w:rsidR="009633AC" w:rsidRPr="0052063C" w:rsidRDefault="009633AC" w:rsidP="00E25A87">
            <w:pPr>
              <w:pStyle w:val="TblTxt-Basic"/>
              <w:pBdr>
                <w:bottom w:val="single" w:sz="4" w:space="1" w:color="auto"/>
              </w:pBdr>
              <w:jc w:val="center"/>
              <w:rPr>
                <w:b/>
                <w:bCs w:val="0"/>
                <w:lang w:val="en-US"/>
              </w:rPr>
            </w:pPr>
            <w:r w:rsidRPr="0052063C">
              <w:rPr>
                <w:b/>
                <w:bCs w:val="0"/>
                <w:lang w:val="en-US"/>
              </w:rPr>
              <w:t>Period</w:t>
            </w:r>
          </w:p>
        </w:tc>
        <w:tc>
          <w:tcPr>
            <w:tcW w:w="2337" w:type="dxa"/>
            <w:tcBorders>
              <w:top w:val="nil"/>
              <w:left w:val="nil"/>
              <w:bottom w:val="nil"/>
              <w:right w:val="nil"/>
            </w:tcBorders>
            <w:shd w:val="clear" w:color="auto" w:fill="auto"/>
            <w:vAlign w:val="bottom"/>
          </w:tcPr>
          <w:p w14:paraId="374CB893" w14:textId="77777777" w:rsidR="009633AC" w:rsidRPr="0052063C" w:rsidRDefault="009633AC" w:rsidP="00E25A87">
            <w:pPr>
              <w:pStyle w:val="TblTxt-Basic"/>
              <w:pBdr>
                <w:bottom w:val="single" w:sz="4" w:space="1" w:color="auto"/>
              </w:pBdr>
              <w:jc w:val="center"/>
              <w:rPr>
                <w:b/>
                <w:bCs w:val="0"/>
                <w:lang w:val="en-US"/>
              </w:rPr>
            </w:pPr>
            <w:r w:rsidRPr="0052063C">
              <w:rPr>
                <w:b/>
                <w:bCs w:val="0"/>
                <w:lang w:val="en-US"/>
              </w:rPr>
              <w:t>High</w:t>
            </w:r>
          </w:p>
        </w:tc>
        <w:tc>
          <w:tcPr>
            <w:tcW w:w="2337" w:type="dxa"/>
            <w:tcBorders>
              <w:top w:val="nil"/>
              <w:left w:val="nil"/>
              <w:bottom w:val="nil"/>
              <w:right w:val="nil"/>
            </w:tcBorders>
            <w:shd w:val="clear" w:color="auto" w:fill="auto"/>
            <w:vAlign w:val="bottom"/>
          </w:tcPr>
          <w:p w14:paraId="1551B14D" w14:textId="77777777" w:rsidR="009633AC" w:rsidRPr="0052063C" w:rsidRDefault="009633AC" w:rsidP="00E25A87">
            <w:pPr>
              <w:pStyle w:val="TblTxt-Basic"/>
              <w:pBdr>
                <w:bottom w:val="single" w:sz="4" w:space="1" w:color="auto"/>
              </w:pBdr>
              <w:jc w:val="center"/>
              <w:rPr>
                <w:b/>
                <w:bCs w:val="0"/>
                <w:lang w:val="en-US"/>
              </w:rPr>
            </w:pPr>
            <w:r w:rsidRPr="0052063C">
              <w:rPr>
                <w:b/>
                <w:bCs w:val="0"/>
                <w:lang w:val="en-US"/>
              </w:rPr>
              <w:t>Low</w:t>
            </w:r>
          </w:p>
        </w:tc>
        <w:tc>
          <w:tcPr>
            <w:tcW w:w="2338" w:type="dxa"/>
            <w:tcBorders>
              <w:top w:val="nil"/>
              <w:left w:val="nil"/>
              <w:bottom w:val="nil"/>
              <w:right w:val="nil"/>
            </w:tcBorders>
            <w:shd w:val="clear" w:color="auto" w:fill="auto"/>
            <w:vAlign w:val="bottom"/>
          </w:tcPr>
          <w:p w14:paraId="7A0B9EE7" w14:textId="77777777" w:rsidR="009633AC" w:rsidRPr="0052063C" w:rsidRDefault="009633AC" w:rsidP="00E25A87">
            <w:pPr>
              <w:pStyle w:val="TblTxt-Basic"/>
              <w:pBdr>
                <w:bottom w:val="single" w:sz="4" w:space="1" w:color="auto"/>
              </w:pBdr>
              <w:jc w:val="center"/>
              <w:rPr>
                <w:b/>
                <w:bCs w:val="0"/>
                <w:lang w:val="en-US"/>
              </w:rPr>
            </w:pPr>
            <w:r w:rsidRPr="0052063C">
              <w:rPr>
                <w:b/>
                <w:bCs w:val="0"/>
                <w:lang w:val="en-US"/>
              </w:rPr>
              <w:t>Volume</w:t>
            </w:r>
          </w:p>
        </w:tc>
      </w:tr>
      <w:tr w:rsidR="009633AC" w:rsidRPr="00DD6027" w14:paraId="50F1BF03" w14:textId="77777777" w:rsidTr="00E25A87">
        <w:tc>
          <w:tcPr>
            <w:tcW w:w="2338" w:type="dxa"/>
            <w:tcBorders>
              <w:top w:val="nil"/>
              <w:left w:val="nil"/>
              <w:bottom w:val="nil"/>
              <w:right w:val="nil"/>
            </w:tcBorders>
            <w:shd w:val="clear" w:color="auto" w:fill="auto"/>
          </w:tcPr>
          <w:p w14:paraId="51FF1464" w14:textId="77777777" w:rsidR="009633AC" w:rsidRPr="00DD6027" w:rsidRDefault="009633AC" w:rsidP="00E25A87">
            <w:pPr>
              <w:pStyle w:val="TblTxt-Basic"/>
              <w:rPr>
                <w:lang w:val="en-US"/>
              </w:rPr>
            </w:pPr>
            <w:r w:rsidRPr="00DD6027">
              <w:rPr>
                <w:lang w:val="en-US"/>
              </w:rPr>
              <w:t>January 202</w:t>
            </w:r>
            <w:r>
              <w:rPr>
                <w:lang w:val="en-US"/>
              </w:rPr>
              <w:t>3</w:t>
            </w:r>
          </w:p>
        </w:tc>
        <w:tc>
          <w:tcPr>
            <w:tcW w:w="2337" w:type="dxa"/>
            <w:tcBorders>
              <w:top w:val="nil"/>
              <w:left w:val="nil"/>
              <w:bottom w:val="nil"/>
              <w:right w:val="nil"/>
            </w:tcBorders>
            <w:shd w:val="clear" w:color="auto" w:fill="auto"/>
          </w:tcPr>
          <w:p w14:paraId="41BE2F13" w14:textId="77777777" w:rsidR="009633AC" w:rsidRPr="00DD6027" w:rsidRDefault="009633AC" w:rsidP="00E25A87">
            <w:pPr>
              <w:pStyle w:val="TblTxt-Basic"/>
              <w:tabs>
                <w:tab w:val="decimal" w:pos="970"/>
              </w:tabs>
              <w:rPr>
                <w:lang w:val="en-US"/>
              </w:rPr>
            </w:pPr>
            <w:r w:rsidRPr="006662F6">
              <w:t>0.75</w:t>
            </w:r>
          </w:p>
        </w:tc>
        <w:tc>
          <w:tcPr>
            <w:tcW w:w="2337" w:type="dxa"/>
            <w:tcBorders>
              <w:top w:val="nil"/>
              <w:left w:val="nil"/>
              <w:bottom w:val="nil"/>
              <w:right w:val="nil"/>
            </w:tcBorders>
            <w:shd w:val="clear" w:color="auto" w:fill="auto"/>
          </w:tcPr>
          <w:p w14:paraId="3820B136" w14:textId="77777777" w:rsidR="009633AC" w:rsidRPr="00DD6027" w:rsidRDefault="009633AC" w:rsidP="00E25A87">
            <w:pPr>
              <w:pStyle w:val="TblTxt-Basic"/>
              <w:jc w:val="center"/>
              <w:rPr>
                <w:lang w:val="en-US"/>
              </w:rPr>
            </w:pPr>
            <w:r w:rsidRPr="006662F6">
              <w:t>0.65</w:t>
            </w:r>
          </w:p>
        </w:tc>
        <w:tc>
          <w:tcPr>
            <w:tcW w:w="2338" w:type="dxa"/>
            <w:tcBorders>
              <w:top w:val="nil"/>
              <w:left w:val="nil"/>
              <w:bottom w:val="nil"/>
              <w:right w:val="nil"/>
            </w:tcBorders>
            <w:shd w:val="clear" w:color="auto" w:fill="auto"/>
          </w:tcPr>
          <w:p w14:paraId="593B3F21" w14:textId="77777777" w:rsidR="009633AC" w:rsidRPr="00DD6027" w:rsidRDefault="009633AC" w:rsidP="00E25A87">
            <w:pPr>
              <w:pStyle w:val="TblTxt-Basic"/>
              <w:jc w:val="center"/>
              <w:rPr>
                <w:lang w:val="en-US"/>
              </w:rPr>
            </w:pPr>
            <w:r w:rsidRPr="006662F6">
              <w:t>802,430</w:t>
            </w:r>
          </w:p>
        </w:tc>
      </w:tr>
      <w:tr w:rsidR="009633AC" w:rsidRPr="00DD6027" w14:paraId="07DEF311" w14:textId="77777777" w:rsidTr="00E25A87">
        <w:tc>
          <w:tcPr>
            <w:tcW w:w="2338" w:type="dxa"/>
            <w:tcBorders>
              <w:top w:val="nil"/>
              <w:left w:val="nil"/>
              <w:bottom w:val="nil"/>
              <w:right w:val="nil"/>
            </w:tcBorders>
            <w:shd w:val="clear" w:color="auto" w:fill="auto"/>
          </w:tcPr>
          <w:p w14:paraId="6539B0C0" w14:textId="77777777" w:rsidR="009633AC" w:rsidRPr="00DD6027" w:rsidRDefault="009633AC" w:rsidP="00E25A87">
            <w:pPr>
              <w:pStyle w:val="TblTxt-Basic"/>
              <w:rPr>
                <w:lang w:val="en-US"/>
              </w:rPr>
            </w:pPr>
            <w:r w:rsidRPr="00DD6027">
              <w:rPr>
                <w:lang w:val="en-US"/>
              </w:rPr>
              <w:t>February 202</w:t>
            </w:r>
            <w:r>
              <w:rPr>
                <w:lang w:val="en-US"/>
              </w:rPr>
              <w:t>3</w:t>
            </w:r>
          </w:p>
        </w:tc>
        <w:tc>
          <w:tcPr>
            <w:tcW w:w="2337" w:type="dxa"/>
            <w:tcBorders>
              <w:top w:val="nil"/>
              <w:left w:val="nil"/>
              <w:bottom w:val="nil"/>
              <w:right w:val="nil"/>
            </w:tcBorders>
            <w:shd w:val="clear" w:color="auto" w:fill="auto"/>
          </w:tcPr>
          <w:p w14:paraId="713EADB5" w14:textId="77777777" w:rsidR="009633AC" w:rsidRPr="00DD6027" w:rsidRDefault="009633AC" w:rsidP="00E25A87">
            <w:pPr>
              <w:pStyle w:val="TblTxt-Basic"/>
              <w:tabs>
                <w:tab w:val="decimal" w:pos="970"/>
              </w:tabs>
              <w:rPr>
                <w:lang w:val="en-US"/>
              </w:rPr>
            </w:pPr>
            <w:r w:rsidRPr="00A75E3A">
              <w:t>0.73</w:t>
            </w:r>
          </w:p>
        </w:tc>
        <w:tc>
          <w:tcPr>
            <w:tcW w:w="2337" w:type="dxa"/>
            <w:tcBorders>
              <w:top w:val="nil"/>
              <w:left w:val="nil"/>
              <w:bottom w:val="nil"/>
              <w:right w:val="nil"/>
            </w:tcBorders>
            <w:shd w:val="clear" w:color="auto" w:fill="auto"/>
          </w:tcPr>
          <w:p w14:paraId="0C9AF18B" w14:textId="77777777" w:rsidR="009633AC" w:rsidRPr="00DD6027" w:rsidRDefault="009633AC" w:rsidP="00E25A87">
            <w:pPr>
              <w:pStyle w:val="TblTxt-Basic"/>
              <w:jc w:val="center"/>
              <w:rPr>
                <w:lang w:val="en-US"/>
              </w:rPr>
            </w:pPr>
            <w:r w:rsidRPr="00A75E3A">
              <w:t>0.66</w:t>
            </w:r>
          </w:p>
        </w:tc>
        <w:tc>
          <w:tcPr>
            <w:tcW w:w="2338" w:type="dxa"/>
            <w:tcBorders>
              <w:top w:val="nil"/>
              <w:left w:val="nil"/>
              <w:bottom w:val="nil"/>
              <w:right w:val="nil"/>
            </w:tcBorders>
            <w:shd w:val="clear" w:color="auto" w:fill="auto"/>
          </w:tcPr>
          <w:p w14:paraId="2F310D7B" w14:textId="77777777" w:rsidR="009633AC" w:rsidRPr="00DD6027" w:rsidRDefault="009633AC" w:rsidP="00E25A87">
            <w:pPr>
              <w:pStyle w:val="TblTxt-Basic"/>
              <w:jc w:val="center"/>
              <w:rPr>
                <w:lang w:val="en-US"/>
              </w:rPr>
            </w:pPr>
            <w:r w:rsidRPr="00A75E3A">
              <w:t>126,530</w:t>
            </w:r>
          </w:p>
        </w:tc>
      </w:tr>
      <w:tr w:rsidR="009633AC" w:rsidRPr="00DD6027" w14:paraId="65EA551D" w14:textId="77777777" w:rsidTr="00E25A87">
        <w:tc>
          <w:tcPr>
            <w:tcW w:w="2338" w:type="dxa"/>
            <w:tcBorders>
              <w:top w:val="nil"/>
              <w:left w:val="nil"/>
              <w:bottom w:val="nil"/>
              <w:right w:val="nil"/>
            </w:tcBorders>
            <w:shd w:val="clear" w:color="auto" w:fill="auto"/>
          </w:tcPr>
          <w:p w14:paraId="0F1F7C51" w14:textId="77777777" w:rsidR="009633AC" w:rsidRPr="00DD6027" w:rsidRDefault="009633AC" w:rsidP="00E25A87">
            <w:pPr>
              <w:pStyle w:val="TblTxt-Basic"/>
              <w:rPr>
                <w:lang w:val="en-US"/>
              </w:rPr>
            </w:pPr>
            <w:r w:rsidRPr="00DD6027">
              <w:rPr>
                <w:lang w:val="en-US"/>
              </w:rPr>
              <w:t>March 202</w:t>
            </w:r>
            <w:r>
              <w:rPr>
                <w:lang w:val="en-US"/>
              </w:rPr>
              <w:t>3</w:t>
            </w:r>
          </w:p>
        </w:tc>
        <w:tc>
          <w:tcPr>
            <w:tcW w:w="2337" w:type="dxa"/>
            <w:tcBorders>
              <w:top w:val="nil"/>
              <w:left w:val="nil"/>
              <w:bottom w:val="nil"/>
              <w:right w:val="nil"/>
            </w:tcBorders>
            <w:shd w:val="clear" w:color="auto" w:fill="auto"/>
          </w:tcPr>
          <w:p w14:paraId="45F0D830" w14:textId="77777777" w:rsidR="009633AC" w:rsidRPr="00DD6027" w:rsidRDefault="009633AC" w:rsidP="00E25A87">
            <w:pPr>
              <w:pStyle w:val="TblTxt-Basic"/>
              <w:tabs>
                <w:tab w:val="decimal" w:pos="970"/>
              </w:tabs>
              <w:rPr>
                <w:lang w:val="en-US"/>
              </w:rPr>
            </w:pPr>
            <w:r w:rsidRPr="00A02D84">
              <w:t>0.74</w:t>
            </w:r>
          </w:p>
        </w:tc>
        <w:tc>
          <w:tcPr>
            <w:tcW w:w="2337" w:type="dxa"/>
            <w:tcBorders>
              <w:top w:val="nil"/>
              <w:left w:val="nil"/>
              <w:bottom w:val="nil"/>
              <w:right w:val="nil"/>
            </w:tcBorders>
            <w:shd w:val="clear" w:color="auto" w:fill="auto"/>
          </w:tcPr>
          <w:p w14:paraId="43A27C15" w14:textId="77777777" w:rsidR="009633AC" w:rsidRPr="00DD6027" w:rsidRDefault="009633AC" w:rsidP="00E25A87">
            <w:pPr>
              <w:pStyle w:val="TblTxt-Basic"/>
              <w:jc w:val="center"/>
              <w:rPr>
                <w:lang w:val="en-US"/>
              </w:rPr>
            </w:pPr>
            <w:r w:rsidRPr="00A02D84">
              <w:t>0.65</w:t>
            </w:r>
          </w:p>
        </w:tc>
        <w:tc>
          <w:tcPr>
            <w:tcW w:w="2338" w:type="dxa"/>
            <w:tcBorders>
              <w:top w:val="nil"/>
              <w:left w:val="nil"/>
              <w:bottom w:val="nil"/>
              <w:right w:val="nil"/>
            </w:tcBorders>
            <w:shd w:val="clear" w:color="auto" w:fill="auto"/>
          </w:tcPr>
          <w:p w14:paraId="4B7F18E1" w14:textId="77777777" w:rsidR="009633AC" w:rsidRPr="00DD6027" w:rsidRDefault="009633AC" w:rsidP="00E25A87">
            <w:pPr>
              <w:pStyle w:val="TblTxt-Basic"/>
              <w:jc w:val="center"/>
              <w:rPr>
                <w:lang w:val="en-US"/>
              </w:rPr>
            </w:pPr>
            <w:r w:rsidRPr="00A02D84">
              <w:t>440,515</w:t>
            </w:r>
          </w:p>
        </w:tc>
      </w:tr>
      <w:tr w:rsidR="009633AC" w:rsidRPr="00DD6027" w14:paraId="696CC26D" w14:textId="77777777" w:rsidTr="00E25A87">
        <w:tc>
          <w:tcPr>
            <w:tcW w:w="2338" w:type="dxa"/>
            <w:tcBorders>
              <w:top w:val="nil"/>
              <w:left w:val="nil"/>
              <w:bottom w:val="nil"/>
              <w:right w:val="nil"/>
            </w:tcBorders>
            <w:shd w:val="clear" w:color="auto" w:fill="auto"/>
          </w:tcPr>
          <w:p w14:paraId="69D03085" w14:textId="77777777" w:rsidR="009633AC" w:rsidRPr="00DD6027" w:rsidRDefault="009633AC" w:rsidP="00E25A87">
            <w:pPr>
              <w:pStyle w:val="TblTxt-Basic"/>
              <w:rPr>
                <w:lang w:val="en-US"/>
              </w:rPr>
            </w:pPr>
            <w:r w:rsidRPr="00DD6027">
              <w:rPr>
                <w:lang w:val="en-US"/>
              </w:rPr>
              <w:t>April 202</w:t>
            </w:r>
            <w:r>
              <w:rPr>
                <w:lang w:val="en-US"/>
              </w:rPr>
              <w:t>3</w:t>
            </w:r>
          </w:p>
        </w:tc>
        <w:tc>
          <w:tcPr>
            <w:tcW w:w="2337" w:type="dxa"/>
            <w:tcBorders>
              <w:top w:val="nil"/>
              <w:left w:val="nil"/>
              <w:bottom w:val="nil"/>
              <w:right w:val="nil"/>
            </w:tcBorders>
            <w:shd w:val="clear" w:color="auto" w:fill="auto"/>
          </w:tcPr>
          <w:p w14:paraId="72E2493C" w14:textId="77777777" w:rsidR="009633AC" w:rsidRPr="00DD6027" w:rsidRDefault="009633AC" w:rsidP="00E25A87">
            <w:pPr>
              <w:pStyle w:val="TblTxt-Basic"/>
              <w:tabs>
                <w:tab w:val="decimal" w:pos="970"/>
              </w:tabs>
              <w:rPr>
                <w:lang w:val="en-US"/>
              </w:rPr>
            </w:pPr>
            <w:r w:rsidRPr="00205C1F">
              <w:t>0.73</w:t>
            </w:r>
          </w:p>
        </w:tc>
        <w:tc>
          <w:tcPr>
            <w:tcW w:w="2337" w:type="dxa"/>
            <w:tcBorders>
              <w:top w:val="nil"/>
              <w:left w:val="nil"/>
              <w:bottom w:val="nil"/>
              <w:right w:val="nil"/>
            </w:tcBorders>
            <w:shd w:val="clear" w:color="auto" w:fill="auto"/>
          </w:tcPr>
          <w:p w14:paraId="6E208AB7" w14:textId="77777777" w:rsidR="009633AC" w:rsidRPr="00DD6027" w:rsidRDefault="009633AC" w:rsidP="00E25A87">
            <w:pPr>
              <w:pStyle w:val="TblTxt-Basic"/>
              <w:jc w:val="center"/>
              <w:rPr>
                <w:lang w:val="en-US"/>
              </w:rPr>
            </w:pPr>
            <w:r w:rsidRPr="00205C1F">
              <w:t>0.67</w:t>
            </w:r>
          </w:p>
        </w:tc>
        <w:tc>
          <w:tcPr>
            <w:tcW w:w="2338" w:type="dxa"/>
            <w:tcBorders>
              <w:top w:val="nil"/>
              <w:left w:val="nil"/>
              <w:bottom w:val="nil"/>
              <w:right w:val="nil"/>
            </w:tcBorders>
            <w:shd w:val="clear" w:color="auto" w:fill="auto"/>
          </w:tcPr>
          <w:p w14:paraId="71767B80" w14:textId="77777777" w:rsidR="009633AC" w:rsidRPr="00DD6027" w:rsidRDefault="009633AC" w:rsidP="00E25A87">
            <w:pPr>
              <w:pStyle w:val="TblTxt-Basic"/>
              <w:jc w:val="center"/>
              <w:rPr>
                <w:lang w:val="en-US"/>
              </w:rPr>
            </w:pPr>
            <w:r w:rsidRPr="00205C1F">
              <w:t>66,497</w:t>
            </w:r>
          </w:p>
        </w:tc>
      </w:tr>
      <w:tr w:rsidR="009633AC" w:rsidRPr="00DD6027" w14:paraId="63871A11" w14:textId="77777777" w:rsidTr="00E25A87">
        <w:tc>
          <w:tcPr>
            <w:tcW w:w="2338" w:type="dxa"/>
            <w:tcBorders>
              <w:top w:val="nil"/>
              <w:left w:val="nil"/>
              <w:bottom w:val="nil"/>
              <w:right w:val="nil"/>
            </w:tcBorders>
            <w:shd w:val="clear" w:color="auto" w:fill="auto"/>
          </w:tcPr>
          <w:p w14:paraId="0C6BC337" w14:textId="77777777" w:rsidR="009633AC" w:rsidRPr="00DD6027" w:rsidRDefault="009633AC" w:rsidP="00E25A87">
            <w:pPr>
              <w:pStyle w:val="TblTxt-Basic"/>
              <w:rPr>
                <w:lang w:val="en-US"/>
              </w:rPr>
            </w:pPr>
            <w:r w:rsidRPr="00DD6027">
              <w:rPr>
                <w:lang w:val="en-US"/>
              </w:rPr>
              <w:t>May 202</w:t>
            </w:r>
            <w:r>
              <w:rPr>
                <w:lang w:val="en-US"/>
              </w:rPr>
              <w:t>3</w:t>
            </w:r>
          </w:p>
        </w:tc>
        <w:tc>
          <w:tcPr>
            <w:tcW w:w="2337" w:type="dxa"/>
            <w:tcBorders>
              <w:top w:val="nil"/>
              <w:left w:val="nil"/>
              <w:bottom w:val="nil"/>
              <w:right w:val="nil"/>
            </w:tcBorders>
            <w:shd w:val="clear" w:color="auto" w:fill="auto"/>
          </w:tcPr>
          <w:p w14:paraId="1D2CD2E0" w14:textId="77777777" w:rsidR="009633AC" w:rsidRPr="00DD6027" w:rsidRDefault="009633AC" w:rsidP="00E25A87">
            <w:pPr>
              <w:pStyle w:val="TblTxt-Basic"/>
              <w:tabs>
                <w:tab w:val="decimal" w:pos="970"/>
              </w:tabs>
              <w:rPr>
                <w:lang w:val="en-US"/>
              </w:rPr>
            </w:pPr>
            <w:r w:rsidRPr="00887496">
              <w:t>0.71</w:t>
            </w:r>
          </w:p>
        </w:tc>
        <w:tc>
          <w:tcPr>
            <w:tcW w:w="2337" w:type="dxa"/>
            <w:tcBorders>
              <w:top w:val="nil"/>
              <w:left w:val="nil"/>
              <w:bottom w:val="nil"/>
              <w:right w:val="nil"/>
            </w:tcBorders>
            <w:shd w:val="clear" w:color="auto" w:fill="auto"/>
          </w:tcPr>
          <w:p w14:paraId="5BA29033" w14:textId="77777777" w:rsidR="009633AC" w:rsidRPr="00DD6027" w:rsidRDefault="009633AC" w:rsidP="00E25A87">
            <w:pPr>
              <w:pStyle w:val="TblTxt-Basic"/>
              <w:jc w:val="center"/>
              <w:rPr>
                <w:lang w:val="en-US"/>
              </w:rPr>
            </w:pPr>
            <w:r w:rsidRPr="00887496">
              <w:t>0.61</w:t>
            </w:r>
          </w:p>
        </w:tc>
        <w:tc>
          <w:tcPr>
            <w:tcW w:w="2338" w:type="dxa"/>
            <w:tcBorders>
              <w:top w:val="nil"/>
              <w:left w:val="nil"/>
              <w:bottom w:val="nil"/>
              <w:right w:val="nil"/>
            </w:tcBorders>
            <w:shd w:val="clear" w:color="auto" w:fill="auto"/>
          </w:tcPr>
          <w:p w14:paraId="0682D08B" w14:textId="77777777" w:rsidR="009633AC" w:rsidRPr="00DD6027" w:rsidRDefault="009633AC" w:rsidP="00E25A87">
            <w:pPr>
              <w:pStyle w:val="TblTxt-Basic"/>
              <w:jc w:val="center"/>
              <w:rPr>
                <w:lang w:val="en-US"/>
              </w:rPr>
            </w:pPr>
            <w:r w:rsidRPr="00887496">
              <w:t>85,743</w:t>
            </w:r>
          </w:p>
        </w:tc>
      </w:tr>
      <w:tr w:rsidR="009633AC" w:rsidRPr="00DD6027" w14:paraId="267553E8" w14:textId="77777777" w:rsidTr="00E25A87">
        <w:tc>
          <w:tcPr>
            <w:tcW w:w="2338" w:type="dxa"/>
            <w:tcBorders>
              <w:top w:val="nil"/>
              <w:left w:val="nil"/>
              <w:bottom w:val="nil"/>
              <w:right w:val="nil"/>
            </w:tcBorders>
          </w:tcPr>
          <w:p w14:paraId="50FFF982" w14:textId="77777777" w:rsidR="009633AC" w:rsidRPr="00DD6027" w:rsidRDefault="009633AC" w:rsidP="00E25A87">
            <w:pPr>
              <w:pStyle w:val="TblTxt-Basic"/>
              <w:rPr>
                <w:lang w:val="en-US"/>
              </w:rPr>
            </w:pPr>
            <w:r w:rsidRPr="00DD6027">
              <w:rPr>
                <w:lang w:val="en-US"/>
              </w:rPr>
              <w:t>June 202</w:t>
            </w:r>
            <w:r>
              <w:rPr>
                <w:lang w:val="en-US"/>
              </w:rPr>
              <w:t>3</w:t>
            </w:r>
          </w:p>
        </w:tc>
        <w:tc>
          <w:tcPr>
            <w:tcW w:w="2337" w:type="dxa"/>
            <w:tcBorders>
              <w:top w:val="nil"/>
              <w:left w:val="nil"/>
              <w:bottom w:val="nil"/>
              <w:right w:val="nil"/>
            </w:tcBorders>
          </w:tcPr>
          <w:p w14:paraId="0713C952" w14:textId="77777777" w:rsidR="009633AC" w:rsidRPr="00DD6027" w:rsidRDefault="009633AC" w:rsidP="00E25A87">
            <w:pPr>
              <w:pStyle w:val="TblTxt-Basic"/>
              <w:tabs>
                <w:tab w:val="decimal" w:pos="970"/>
              </w:tabs>
              <w:rPr>
                <w:lang w:val="en-US"/>
              </w:rPr>
            </w:pPr>
            <w:r w:rsidRPr="00F32E85">
              <w:t>0.76</w:t>
            </w:r>
          </w:p>
        </w:tc>
        <w:tc>
          <w:tcPr>
            <w:tcW w:w="2337" w:type="dxa"/>
            <w:tcBorders>
              <w:top w:val="nil"/>
              <w:left w:val="nil"/>
              <w:bottom w:val="nil"/>
              <w:right w:val="nil"/>
            </w:tcBorders>
          </w:tcPr>
          <w:p w14:paraId="1D1F0125" w14:textId="77777777" w:rsidR="009633AC" w:rsidRPr="00DD6027" w:rsidRDefault="009633AC" w:rsidP="00E25A87">
            <w:pPr>
              <w:pStyle w:val="TblTxt-Basic"/>
              <w:jc w:val="center"/>
              <w:rPr>
                <w:lang w:val="en-US"/>
              </w:rPr>
            </w:pPr>
            <w:r w:rsidRPr="00F32E85">
              <w:t>0.67</w:t>
            </w:r>
          </w:p>
        </w:tc>
        <w:tc>
          <w:tcPr>
            <w:tcW w:w="2338" w:type="dxa"/>
            <w:tcBorders>
              <w:top w:val="nil"/>
              <w:left w:val="nil"/>
              <w:bottom w:val="nil"/>
              <w:right w:val="nil"/>
            </w:tcBorders>
          </w:tcPr>
          <w:p w14:paraId="497B9E51" w14:textId="77777777" w:rsidR="009633AC" w:rsidRPr="00DD6027" w:rsidRDefault="009633AC" w:rsidP="00E25A87">
            <w:pPr>
              <w:pStyle w:val="TblTxt-Basic"/>
              <w:jc w:val="center"/>
              <w:rPr>
                <w:lang w:val="en-US"/>
              </w:rPr>
            </w:pPr>
            <w:r w:rsidRPr="00F32E85">
              <w:t>273,268</w:t>
            </w:r>
          </w:p>
        </w:tc>
      </w:tr>
      <w:tr w:rsidR="009633AC" w:rsidRPr="00DD6027" w14:paraId="6F433723" w14:textId="77777777" w:rsidTr="00E25A87">
        <w:tc>
          <w:tcPr>
            <w:tcW w:w="2338" w:type="dxa"/>
            <w:tcBorders>
              <w:top w:val="nil"/>
              <w:left w:val="nil"/>
              <w:bottom w:val="nil"/>
              <w:right w:val="nil"/>
            </w:tcBorders>
          </w:tcPr>
          <w:p w14:paraId="7E20B3E2" w14:textId="77777777" w:rsidR="009633AC" w:rsidRPr="00DD6027" w:rsidRDefault="009633AC" w:rsidP="00E25A87">
            <w:pPr>
              <w:pStyle w:val="TblTxt-Basic"/>
              <w:rPr>
                <w:lang w:val="en-US"/>
              </w:rPr>
            </w:pPr>
            <w:r w:rsidRPr="00DD6027">
              <w:rPr>
                <w:lang w:val="en-US"/>
              </w:rPr>
              <w:t>July 202</w:t>
            </w:r>
            <w:r>
              <w:rPr>
                <w:lang w:val="en-US"/>
              </w:rPr>
              <w:t>3</w:t>
            </w:r>
          </w:p>
        </w:tc>
        <w:tc>
          <w:tcPr>
            <w:tcW w:w="2337" w:type="dxa"/>
            <w:tcBorders>
              <w:top w:val="nil"/>
              <w:left w:val="nil"/>
              <w:bottom w:val="nil"/>
              <w:right w:val="nil"/>
            </w:tcBorders>
          </w:tcPr>
          <w:p w14:paraId="47A1E5AE" w14:textId="77777777" w:rsidR="009633AC" w:rsidRPr="00DD6027" w:rsidRDefault="009633AC" w:rsidP="00E25A87">
            <w:pPr>
              <w:pStyle w:val="TblTxt-Basic"/>
              <w:tabs>
                <w:tab w:val="decimal" w:pos="970"/>
              </w:tabs>
              <w:rPr>
                <w:lang w:val="en-US"/>
              </w:rPr>
            </w:pPr>
            <w:r w:rsidRPr="007F1BF9">
              <w:t>0.82</w:t>
            </w:r>
          </w:p>
        </w:tc>
        <w:tc>
          <w:tcPr>
            <w:tcW w:w="2337" w:type="dxa"/>
            <w:tcBorders>
              <w:top w:val="nil"/>
              <w:left w:val="nil"/>
              <w:bottom w:val="nil"/>
              <w:right w:val="nil"/>
            </w:tcBorders>
          </w:tcPr>
          <w:p w14:paraId="28F5125D" w14:textId="77777777" w:rsidR="009633AC" w:rsidRPr="00DD6027" w:rsidRDefault="009633AC" w:rsidP="00E25A87">
            <w:pPr>
              <w:pStyle w:val="TblTxt-Basic"/>
              <w:jc w:val="center"/>
              <w:rPr>
                <w:lang w:val="en-US"/>
              </w:rPr>
            </w:pPr>
            <w:r w:rsidRPr="007F1BF9">
              <w:t>0.68</w:t>
            </w:r>
          </w:p>
        </w:tc>
        <w:tc>
          <w:tcPr>
            <w:tcW w:w="2338" w:type="dxa"/>
            <w:tcBorders>
              <w:top w:val="nil"/>
              <w:left w:val="nil"/>
              <w:bottom w:val="nil"/>
              <w:right w:val="nil"/>
            </w:tcBorders>
          </w:tcPr>
          <w:p w14:paraId="5CCE3E91" w14:textId="77777777" w:rsidR="009633AC" w:rsidRPr="00DD6027" w:rsidRDefault="009633AC" w:rsidP="00E25A87">
            <w:pPr>
              <w:pStyle w:val="TblTxt-Basic"/>
              <w:jc w:val="center"/>
              <w:rPr>
                <w:lang w:val="en-US"/>
              </w:rPr>
            </w:pPr>
            <w:r w:rsidRPr="007F1BF9">
              <w:t>400,252</w:t>
            </w:r>
          </w:p>
        </w:tc>
      </w:tr>
      <w:tr w:rsidR="009633AC" w:rsidRPr="00DD6027" w14:paraId="39FD83A8" w14:textId="77777777" w:rsidTr="00E25A87">
        <w:tc>
          <w:tcPr>
            <w:tcW w:w="2338" w:type="dxa"/>
            <w:tcBorders>
              <w:top w:val="nil"/>
              <w:left w:val="nil"/>
              <w:bottom w:val="nil"/>
              <w:right w:val="nil"/>
            </w:tcBorders>
          </w:tcPr>
          <w:p w14:paraId="00A71A3A" w14:textId="77777777" w:rsidR="009633AC" w:rsidRPr="00DD6027" w:rsidRDefault="009633AC" w:rsidP="00E25A87">
            <w:pPr>
              <w:pStyle w:val="TblTxt-Basic"/>
              <w:rPr>
                <w:lang w:val="en-US"/>
              </w:rPr>
            </w:pPr>
            <w:r w:rsidRPr="00DD6027">
              <w:rPr>
                <w:lang w:val="en-US"/>
              </w:rPr>
              <w:t>August 202</w:t>
            </w:r>
            <w:r>
              <w:rPr>
                <w:lang w:val="en-US"/>
              </w:rPr>
              <w:t>3</w:t>
            </w:r>
          </w:p>
        </w:tc>
        <w:tc>
          <w:tcPr>
            <w:tcW w:w="2337" w:type="dxa"/>
            <w:tcBorders>
              <w:top w:val="nil"/>
              <w:left w:val="nil"/>
              <w:bottom w:val="nil"/>
              <w:right w:val="nil"/>
            </w:tcBorders>
          </w:tcPr>
          <w:p w14:paraId="25A5D4C0" w14:textId="77777777" w:rsidR="009633AC" w:rsidRPr="00DD6027" w:rsidRDefault="009633AC" w:rsidP="00E25A87">
            <w:pPr>
              <w:pStyle w:val="TblTxt-Basic"/>
              <w:tabs>
                <w:tab w:val="decimal" w:pos="970"/>
              </w:tabs>
              <w:rPr>
                <w:lang w:val="en-US"/>
              </w:rPr>
            </w:pPr>
            <w:r w:rsidRPr="00BE7689">
              <w:t>0.95</w:t>
            </w:r>
          </w:p>
        </w:tc>
        <w:tc>
          <w:tcPr>
            <w:tcW w:w="2337" w:type="dxa"/>
            <w:tcBorders>
              <w:top w:val="nil"/>
              <w:left w:val="nil"/>
              <w:bottom w:val="nil"/>
              <w:right w:val="nil"/>
            </w:tcBorders>
          </w:tcPr>
          <w:p w14:paraId="65DF8DA2" w14:textId="77777777" w:rsidR="009633AC" w:rsidRPr="00DD6027" w:rsidRDefault="009633AC" w:rsidP="00E25A87">
            <w:pPr>
              <w:pStyle w:val="TblTxt-Basic"/>
              <w:jc w:val="center"/>
              <w:rPr>
                <w:lang w:val="en-US"/>
              </w:rPr>
            </w:pPr>
            <w:r w:rsidRPr="00BE7689">
              <w:t>0.72</w:t>
            </w:r>
          </w:p>
        </w:tc>
        <w:tc>
          <w:tcPr>
            <w:tcW w:w="2338" w:type="dxa"/>
            <w:tcBorders>
              <w:top w:val="nil"/>
              <w:left w:val="nil"/>
              <w:bottom w:val="nil"/>
              <w:right w:val="nil"/>
            </w:tcBorders>
          </w:tcPr>
          <w:p w14:paraId="4C497AEC" w14:textId="77777777" w:rsidR="009633AC" w:rsidRPr="00DD6027" w:rsidRDefault="009633AC" w:rsidP="00E25A87">
            <w:pPr>
              <w:pStyle w:val="TblTxt-Basic"/>
              <w:jc w:val="center"/>
              <w:rPr>
                <w:lang w:val="en-US"/>
              </w:rPr>
            </w:pPr>
            <w:r w:rsidRPr="00BE7689">
              <w:t>606,129</w:t>
            </w:r>
          </w:p>
        </w:tc>
      </w:tr>
      <w:tr w:rsidR="009633AC" w:rsidRPr="00DD6027" w14:paraId="3B77A07C" w14:textId="77777777" w:rsidTr="00E25A87">
        <w:tc>
          <w:tcPr>
            <w:tcW w:w="2338" w:type="dxa"/>
            <w:tcBorders>
              <w:top w:val="nil"/>
              <w:left w:val="nil"/>
              <w:bottom w:val="nil"/>
              <w:right w:val="nil"/>
            </w:tcBorders>
          </w:tcPr>
          <w:p w14:paraId="4DB0884A" w14:textId="77777777" w:rsidR="009633AC" w:rsidRPr="00DD6027" w:rsidRDefault="009633AC" w:rsidP="00E25A87">
            <w:pPr>
              <w:pStyle w:val="TblTxt-Basic"/>
              <w:rPr>
                <w:lang w:val="en-US"/>
              </w:rPr>
            </w:pPr>
            <w:r w:rsidRPr="00DD6027">
              <w:rPr>
                <w:lang w:val="en-US"/>
              </w:rPr>
              <w:t>September 202</w:t>
            </w:r>
            <w:r>
              <w:rPr>
                <w:lang w:val="en-US"/>
              </w:rPr>
              <w:t>3</w:t>
            </w:r>
          </w:p>
        </w:tc>
        <w:tc>
          <w:tcPr>
            <w:tcW w:w="2337" w:type="dxa"/>
            <w:tcBorders>
              <w:top w:val="nil"/>
              <w:left w:val="nil"/>
              <w:bottom w:val="nil"/>
              <w:right w:val="nil"/>
            </w:tcBorders>
          </w:tcPr>
          <w:p w14:paraId="08696AEF" w14:textId="77777777" w:rsidR="009633AC" w:rsidRPr="00DD6027" w:rsidRDefault="009633AC" w:rsidP="00E25A87">
            <w:pPr>
              <w:pStyle w:val="TblTxt-Basic"/>
              <w:tabs>
                <w:tab w:val="decimal" w:pos="970"/>
              </w:tabs>
              <w:rPr>
                <w:lang w:val="en-US"/>
              </w:rPr>
            </w:pPr>
            <w:r w:rsidRPr="00291244">
              <w:t>1.1</w:t>
            </w:r>
          </w:p>
        </w:tc>
        <w:tc>
          <w:tcPr>
            <w:tcW w:w="2337" w:type="dxa"/>
            <w:tcBorders>
              <w:top w:val="nil"/>
              <w:left w:val="nil"/>
              <w:bottom w:val="nil"/>
              <w:right w:val="nil"/>
            </w:tcBorders>
          </w:tcPr>
          <w:p w14:paraId="4F380374" w14:textId="77777777" w:rsidR="009633AC" w:rsidRPr="00DD6027" w:rsidRDefault="009633AC" w:rsidP="00E25A87">
            <w:pPr>
              <w:pStyle w:val="TblTxt-Basic"/>
              <w:jc w:val="center"/>
              <w:rPr>
                <w:lang w:val="en-US"/>
              </w:rPr>
            </w:pPr>
            <w:r w:rsidRPr="00291244">
              <w:t>0.92</w:t>
            </w:r>
          </w:p>
        </w:tc>
        <w:tc>
          <w:tcPr>
            <w:tcW w:w="2338" w:type="dxa"/>
            <w:tcBorders>
              <w:top w:val="nil"/>
              <w:left w:val="nil"/>
              <w:bottom w:val="nil"/>
              <w:right w:val="nil"/>
            </w:tcBorders>
          </w:tcPr>
          <w:p w14:paraId="32E94E8F" w14:textId="77777777" w:rsidR="009633AC" w:rsidRPr="00DD6027" w:rsidRDefault="009633AC" w:rsidP="00E25A87">
            <w:pPr>
              <w:pStyle w:val="TblTxt-Basic"/>
              <w:jc w:val="center"/>
              <w:rPr>
                <w:lang w:val="en-US"/>
              </w:rPr>
            </w:pPr>
            <w:r w:rsidRPr="00291244">
              <w:t>492,762</w:t>
            </w:r>
          </w:p>
        </w:tc>
      </w:tr>
      <w:tr w:rsidR="009633AC" w:rsidRPr="00DD6027" w14:paraId="68ED3388" w14:textId="77777777" w:rsidTr="00E25A87">
        <w:tc>
          <w:tcPr>
            <w:tcW w:w="2338" w:type="dxa"/>
            <w:tcBorders>
              <w:top w:val="nil"/>
              <w:left w:val="nil"/>
              <w:bottom w:val="nil"/>
              <w:right w:val="nil"/>
            </w:tcBorders>
          </w:tcPr>
          <w:p w14:paraId="77549B65" w14:textId="77777777" w:rsidR="009633AC" w:rsidRPr="00DD6027" w:rsidRDefault="009633AC" w:rsidP="00E25A87">
            <w:pPr>
              <w:pStyle w:val="TblTxt-Basic"/>
              <w:rPr>
                <w:lang w:val="en-US"/>
              </w:rPr>
            </w:pPr>
            <w:r w:rsidRPr="00DD6027">
              <w:rPr>
                <w:lang w:val="en-US"/>
              </w:rPr>
              <w:t>October 202</w:t>
            </w:r>
            <w:r>
              <w:rPr>
                <w:lang w:val="en-US"/>
              </w:rPr>
              <w:t>3</w:t>
            </w:r>
          </w:p>
        </w:tc>
        <w:tc>
          <w:tcPr>
            <w:tcW w:w="2337" w:type="dxa"/>
            <w:tcBorders>
              <w:top w:val="nil"/>
              <w:left w:val="nil"/>
              <w:bottom w:val="nil"/>
              <w:right w:val="nil"/>
            </w:tcBorders>
          </w:tcPr>
          <w:p w14:paraId="03DA768B" w14:textId="77777777" w:rsidR="009633AC" w:rsidRPr="00DD6027" w:rsidRDefault="009633AC" w:rsidP="00E25A87">
            <w:pPr>
              <w:pStyle w:val="TblTxt-Basic"/>
              <w:tabs>
                <w:tab w:val="decimal" w:pos="970"/>
              </w:tabs>
              <w:rPr>
                <w:lang w:val="en-US"/>
              </w:rPr>
            </w:pPr>
            <w:r w:rsidRPr="0069129F">
              <w:t>1.1</w:t>
            </w:r>
          </w:p>
        </w:tc>
        <w:tc>
          <w:tcPr>
            <w:tcW w:w="2337" w:type="dxa"/>
            <w:tcBorders>
              <w:top w:val="nil"/>
              <w:left w:val="nil"/>
              <w:bottom w:val="nil"/>
              <w:right w:val="nil"/>
            </w:tcBorders>
          </w:tcPr>
          <w:p w14:paraId="6F0267EB" w14:textId="77777777" w:rsidR="009633AC" w:rsidRPr="00DD6027" w:rsidRDefault="009633AC" w:rsidP="00E25A87">
            <w:pPr>
              <w:pStyle w:val="TblTxt-Basic"/>
              <w:jc w:val="center"/>
              <w:rPr>
                <w:lang w:val="en-US"/>
              </w:rPr>
            </w:pPr>
            <w:r w:rsidRPr="0069129F">
              <w:t>0.94</w:t>
            </w:r>
          </w:p>
        </w:tc>
        <w:tc>
          <w:tcPr>
            <w:tcW w:w="2338" w:type="dxa"/>
            <w:tcBorders>
              <w:top w:val="nil"/>
              <w:left w:val="nil"/>
              <w:bottom w:val="nil"/>
              <w:right w:val="nil"/>
            </w:tcBorders>
          </w:tcPr>
          <w:p w14:paraId="4A598FC4" w14:textId="77777777" w:rsidR="009633AC" w:rsidRPr="00DD6027" w:rsidRDefault="009633AC" w:rsidP="00E25A87">
            <w:pPr>
              <w:pStyle w:val="TblTxt-Basic"/>
              <w:jc w:val="center"/>
              <w:rPr>
                <w:lang w:val="en-US"/>
              </w:rPr>
            </w:pPr>
            <w:r w:rsidRPr="0069129F">
              <w:t>205,986</w:t>
            </w:r>
          </w:p>
        </w:tc>
      </w:tr>
      <w:tr w:rsidR="009633AC" w:rsidRPr="00DD6027" w14:paraId="1DFB3B99" w14:textId="77777777" w:rsidTr="00E25A87">
        <w:tc>
          <w:tcPr>
            <w:tcW w:w="2338" w:type="dxa"/>
            <w:tcBorders>
              <w:top w:val="nil"/>
              <w:left w:val="nil"/>
              <w:bottom w:val="nil"/>
              <w:right w:val="nil"/>
            </w:tcBorders>
          </w:tcPr>
          <w:p w14:paraId="6EDEE6BC" w14:textId="77777777" w:rsidR="009633AC" w:rsidRPr="00DD6027" w:rsidRDefault="009633AC" w:rsidP="00E25A87">
            <w:pPr>
              <w:pStyle w:val="TblTxt-Basic"/>
              <w:rPr>
                <w:lang w:val="en-US"/>
              </w:rPr>
            </w:pPr>
            <w:r w:rsidRPr="00DD6027">
              <w:rPr>
                <w:lang w:val="en-US"/>
              </w:rPr>
              <w:t>November 202</w:t>
            </w:r>
            <w:r>
              <w:rPr>
                <w:lang w:val="en-US"/>
              </w:rPr>
              <w:t>3</w:t>
            </w:r>
          </w:p>
        </w:tc>
        <w:tc>
          <w:tcPr>
            <w:tcW w:w="2337" w:type="dxa"/>
            <w:tcBorders>
              <w:top w:val="nil"/>
              <w:left w:val="nil"/>
              <w:bottom w:val="nil"/>
              <w:right w:val="nil"/>
            </w:tcBorders>
          </w:tcPr>
          <w:p w14:paraId="78469D93" w14:textId="77777777" w:rsidR="009633AC" w:rsidRPr="00DD6027" w:rsidRDefault="009633AC" w:rsidP="00E25A87">
            <w:pPr>
              <w:pStyle w:val="TblTxt-Basic"/>
              <w:tabs>
                <w:tab w:val="decimal" w:pos="970"/>
              </w:tabs>
              <w:rPr>
                <w:lang w:val="en-US"/>
              </w:rPr>
            </w:pPr>
            <w:r w:rsidRPr="00D1169F">
              <w:t>1.07</w:t>
            </w:r>
          </w:p>
        </w:tc>
        <w:tc>
          <w:tcPr>
            <w:tcW w:w="2337" w:type="dxa"/>
            <w:tcBorders>
              <w:top w:val="nil"/>
              <w:left w:val="nil"/>
              <w:bottom w:val="nil"/>
              <w:right w:val="nil"/>
            </w:tcBorders>
          </w:tcPr>
          <w:p w14:paraId="4818042B" w14:textId="77777777" w:rsidR="009633AC" w:rsidRPr="00DD6027" w:rsidRDefault="009633AC" w:rsidP="00E25A87">
            <w:pPr>
              <w:pStyle w:val="TblTxt-Basic"/>
              <w:jc w:val="center"/>
              <w:rPr>
                <w:lang w:val="en-US"/>
              </w:rPr>
            </w:pPr>
            <w:r w:rsidRPr="00D1169F">
              <w:t>0.93</w:t>
            </w:r>
          </w:p>
        </w:tc>
        <w:tc>
          <w:tcPr>
            <w:tcW w:w="2338" w:type="dxa"/>
            <w:tcBorders>
              <w:top w:val="nil"/>
              <w:left w:val="nil"/>
              <w:bottom w:val="nil"/>
              <w:right w:val="nil"/>
            </w:tcBorders>
          </w:tcPr>
          <w:p w14:paraId="5C64B186" w14:textId="77777777" w:rsidR="009633AC" w:rsidRPr="00DD6027" w:rsidRDefault="009633AC" w:rsidP="00E25A87">
            <w:pPr>
              <w:pStyle w:val="TblTxt-Basic"/>
              <w:jc w:val="center"/>
              <w:rPr>
                <w:lang w:val="en-US"/>
              </w:rPr>
            </w:pPr>
            <w:r w:rsidRPr="00D1169F">
              <w:t>175,270</w:t>
            </w:r>
          </w:p>
        </w:tc>
      </w:tr>
      <w:tr w:rsidR="009633AC" w:rsidRPr="00DD6027" w14:paraId="2073FE0B" w14:textId="77777777" w:rsidTr="00E25A87">
        <w:tc>
          <w:tcPr>
            <w:tcW w:w="2338" w:type="dxa"/>
            <w:tcBorders>
              <w:top w:val="nil"/>
              <w:left w:val="nil"/>
              <w:bottom w:val="nil"/>
              <w:right w:val="nil"/>
            </w:tcBorders>
          </w:tcPr>
          <w:p w14:paraId="4A2A0EDC" w14:textId="77777777" w:rsidR="009633AC" w:rsidRPr="002A3808" w:rsidRDefault="009633AC" w:rsidP="00E25A87">
            <w:pPr>
              <w:pStyle w:val="TblTxt-Basic"/>
            </w:pPr>
            <w:r w:rsidRPr="002A3808">
              <w:rPr>
                <w:spacing w:val="-1"/>
              </w:rPr>
              <w:t>December 202</w:t>
            </w:r>
            <w:r>
              <w:rPr>
                <w:spacing w:val="-1"/>
              </w:rPr>
              <w:t>3</w:t>
            </w:r>
          </w:p>
        </w:tc>
        <w:tc>
          <w:tcPr>
            <w:tcW w:w="2337" w:type="dxa"/>
            <w:tcBorders>
              <w:top w:val="nil"/>
              <w:left w:val="nil"/>
              <w:bottom w:val="nil"/>
              <w:right w:val="nil"/>
            </w:tcBorders>
          </w:tcPr>
          <w:p w14:paraId="4A88E331" w14:textId="77777777" w:rsidR="009633AC" w:rsidRPr="002A3808" w:rsidRDefault="009633AC" w:rsidP="00E25A87">
            <w:pPr>
              <w:pStyle w:val="TblTxt-Basic"/>
              <w:tabs>
                <w:tab w:val="decimal" w:pos="970"/>
              </w:tabs>
            </w:pPr>
            <w:r w:rsidRPr="00433685">
              <w:t>1.2</w:t>
            </w:r>
          </w:p>
        </w:tc>
        <w:tc>
          <w:tcPr>
            <w:tcW w:w="2337" w:type="dxa"/>
            <w:tcBorders>
              <w:top w:val="nil"/>
              <w:left w:val="nil"/>
              <w:bottom w:val="nil"/>
              <w:right w:val="nil"/>
            </w:tcBorders>
          </w:tcPr>
          <w:p w14:paraId="00809D68" w14:textId="77777777" w:rsidR="009633AC" w:rsidRPr="002A3808" w:rsidRDefault="009633AC" w:rsidP="00E25A87">
            <w:pPr>
              <w:pStyle w:val="TblTxt-Basic"/>
              <w:jc w:val="center"/>
            </w:pPr>
            <w:r w:rsidRPr="00433685">
              <w:t>0.98</w:t>
            </w:r>
          </w:p>
        </w:tc>
        <w:tc>
          <w:tcPr>
            <w:tcW w:w="2338" w:type="dxa"/>
            <w:tcBorders>
              <w:top w:val="nil"/>
              <w:left w:val="nil"/>
              <w:bottom w:val="nil"/>
              <w:right w:val="nil"/>
            </w:tcBorders>
          </w:tcPr>
          <w:p w14:paraId="612340A6" w14:textId="77777777" w:rsidR="009633AC" w:rsidRPr="002A3808" w:rsidRDefault="009633AC" w:rsidP="00E25A87">
            <w:pPr>
              <w:pStyle w:val="TblTxt-Basic"/>
              <w:jc w:val="center"/>
            </w:pPr>
            <w:r w:rsidRPr="00433685">
              <w:t>344,442</w:t>
            </w:r>
          </w:p>
        </w:tc>
      </w:tr>
      <w:tr w:rsidR="009633AC" w:rsidRPr="00DD6027" w14:paraId="297A03DA" w14:textId="77777777" w:rsidTr="00E25A87">
        <w:tc>
          <w:tcPr>
            <w:tcW w:w="2338" w:type="dxa"/>
            <w:tcBorders>
              <w:top w:val="nil"/>
              <w:left w:val="nil"/>
              <w:bottom w:val="nil"/>
              <w:right w:val="nil"/>
            </w:tcBorders>
          </w:tcPr>
          <w:p w14:paraId="1CE5B3DB" w14:textId="77777777" w:rsidR="009633AC" w:rsidRPr="002A3808" w:rsidRDefault="009633AC" w:rsidP="00E25A87">
            <w:pPr>
              <w:pStyle w:val="TblTxt-Basic"/>
              <w:rPr>
                <w:spacing w:val="-1"/>
              </w:rPr>
            </w:pPr>
          </w:p>
        </w:tc>
        <w:tc>
          <w:tcPr>
            <w:tcW w:w="2337" w:type="dxa"/>
            <w:tcBorders>
              <w:top w:val="nil"/>
              <w:left w:val="nil"/>
              <w:bottom w:val="nil"/>
              <w:right w:val="nil"/>
            </w:tcBorders>
          </w:tcPr>
          <w:p w14:paraId="33319374" w14:textId="77777777" w:rsidR="009633AC" w:rsidRPr="00433685" w:rsidRDefault="009633AC" w:rsidP="00E25A87">
            <w:pPr>
              <w:pStyle w:val="TblTxt-Basic"/>
              <w:jc w:val="center"/>
            </w:pPr>
          </w:p>
        </w:tc>
        <w:tc>
          <w:tcPr>
            <w:tcW w:w="2337" w:type="dxa"/>
            <w:tcBorders>
              <w:top w:val="nil"/>
              <w:left w:val="nil"/>
              <w:bottom w:val="nil"/>
              <w:right w:val="nil"/>
            </w:tcBorders>
          </w:tcPr>
          <w:p w14:paraId="0FF29A24" w14:textId="77777777" w:rsidR="009633AC" w:rsidRPr="00433685" w:rsidRDefault="009633AC" w:rsidP="00E25A87">
            <w:pPr>
              <w:pStyle w:val="TblTxt-Basic"/>
              <w:jc w:val="center"/>
            </w:pPr>
          </w:p>
        </w:tc>
        <w:tc>
          <w:tcPr>
            <w:tcW w:w="2338" w:type="dxa"/>
            <w:tcBorders>
              <w:top w:val="nil"/>
              <w:left w:val="nil"/>
              <w:bottom w:val="nil"/>
              <w:right w:val="nil"/>
            </w:tcBorders>
          </w:tcPr>
          <w:p w14:paraId="6910181D" w14:textId="77777777" w:rsidR="009633AC" w:rsidRPr="00433685" w:rsidRDefault="009633AC" w:rsidP="00E25A87">
            <w:pPr>
              <w:pStyle w:val="TblTxt-Basic"/>
              <w:jc w:val="center"/>
            </w:pPr>
          </w:p>
        </w:tc>
      </w:tr>
    </w:tbl>
    <w:p w14:paraId="48F28A93" w14:textId="77777777" w:rsidR="009633AC" w:rsidRDefault="009633AC" w:rsidP="009633AC">
      <w:pPr>
        <w:pStyle w:val="ProspectusL1"/>
        <w:spacing w:after="120"/>
      </w:pPr>
      <w:bookmarkStart w:id="82" w:name="_Toc161911191"/>
      <w:bookmarkStart w:id="83" w:name="_Hlk42259492"/>
    </w:p>
    <w:p w14:paraId="1BBB1514" w14:textId="77777777" w:rsidR="009633AC" w:rsidRPr="00124878" w:rsidRDefault="009633AC" w:rsidP="009633AC">
      <w:pPr>
        <w:pStyle w:val="ProspectusL1"/>
        <w:spacing w:after="120"/>
      </w:pPr>
      <w:r w:rsidRPr="00124878">
        <w:t>PRIOR SALES OF SECURITIES</w:t>
      </w:r>
      <w:bookmarkEnd w:id="82"/>
    </w:p>
    <w:p w14:paraId="7324546A" w14:textId="77777777" w:rsidR="009633AC" w:rsidRPr="00A52F2C" w:rsidRDefault="009633AC" w:rsidP="009633AC">
      <w:pPr>
        <w:pStyle w:val="ProspectusCont1"/>
        <w:rPr>
          <w:rFonts w:eastAsiaTheme="minorHAnsi"/>
        </w:rPr>
      </w:pPr>
      <w:r w:rsidRPr="00A52F2C">
        <w:rPr>
          <w:rFonts w:eastAsiaTheme="minorHAnsi"/>
        </w:rPr>
        <w:t>The Corporation issued the following securities, which are not listed or quoted on a marketplace, during the year-ended December 31, 2023.</w:t>
      </w:r>
    </w:p>
    <w:p w14:paraId="53C75088" w14:textId="77777777" w:rsidR="009633AC" w:rsidRPr="00A52F2C" w:rsidRDefault="009633AC" w:rsidP="009633AC">
      <w:pPr>
        <w:pStyle w:val="ProspectusL2"/>
        <w:rPr>
          <w:rFonts w:eastAsiaTheme="minorHAnsi"/>
        </w:rPr>
      </w:pPr>
      <w:r w:rsidRPr="00A52F2C">
        <w:rPr>
          <w:rFonts w:eastAsiaTheme="minorHAnsi"/>
        </w:rPr>
        <w:t>Stock Options</w:t>
      </w:r>
    </w:p>
    <w:p w14:paraId="20694C26" w14:textId="77777777" w:rsidR="009633AC" w:rsidRPr="00A52F2C" w:rsidRDefault="009633AC" w:rsidP="009633AC">
      <w:pPr>
        <w:pStyle w:val="BodyText"/>
        <w:rPr>
          <w:rFonts w:eastAsiaTheme="minorHAnsi"/>
          <w:lang w:val="en-US"/>
        </w:rPr>
      </w:pPr>
      <w:r w:rsidRPr="00A52F2C">
        <w:rPr>
          <w:rFonts w:eastAsiaTheme="minorHAnsi"/>
          <w:lang w:val="en-US"/>
        </w:rPr>
        <w:t>During the financial year ended December 31, 2023, the Corporation granted the following options to purchase Common Shares. The options are not listed on the TSX-V Exchange or any other marketplace.</w:t>
      </w:r>
    </w:p>
    <w:tbl>
      <w:tblPr>
        <w:tblW w:w="9597" w:type="dxa"/>
        <w:tblLayout w:type="fixed"/>
        <w:tblLook w:val="01E0" w:firstRow="1" w:lastRow="1" w:firstColumn="1" w:lastColumn="1" w:noHBand="0" w:noVBand="0"/>
      </w:tblPr>
      <w:tblGrid>
        <w:gridCol w:w="2426"/>
        <w:gridCol w:w="2306"/>
        <w:gridCol w:w="2733"/>
        <w:gridCol w:w="2132"/>
      </w:tblGrid>
      <w:tr w:rsidR="009633AC" w:rsidRPr="00124878" w14:paraId="3E287D81" w14:textId="77777777" w:rsidTr="00E25A87">
        <w:trPr>
          <w:trHeight w:hRule="exact" w:val="450"/>
        </w:trPr>
        <w:tc>
          <w:tcPr>
            <w:tcW w:w="2426" w:type="dxa"/>
            <w:shd w:val="clear" w:color="auto" w:fill="auto"/>
            <w:vAlign w:val="center"/>
          </w:tcPr>
          <w:p w14:paraId="029B0003" w14:textId="77777777" w:rsidR="009633AC" w:rsidRPr="0052063C" w:rsidRDefault="009633AC" w:rsidP="00E25A87">
            <w:pPr>
              <w:pStyle w:val="TblTxt-Basic"/>
              <w:pBdr>
                <w:bottom w:val="single" w:sz="4" w:space="1" w:color="auto"/>
              </w:pBdr>
              <w:jc w:val="center"/>
              <w:rPr>
                <w:b/>
                <w:bCs w:val="0"/>
              </w:rPr>
            </w:pPr>
            <w:r w:rsidRPr="0052063C">
              <w:rPr>
                <w:rFonts w:eastAsiaTheme="minorEastAsia"/>
                <w:b/>
                <w:bCs w:val="0"/>
              </w:rPr>
              <w:t>Date of Grant</w:t>
            </w:r>
          </w:p>
        </w:tc>
        <w:tc>
          <w:tcPr>
            <w:tcW w:w="2306" w:type="dxa"/>
            <w:shd w:val="clear" w:color="auto" w:fill="auto"/>
            <w:vAlign w:val="center"/>
          </w:tcPr>
          <w:p w14:paraId="0F5C1B08" w14:textId="77777777" w:rsidR="009633AC" w:rsidRPr="0052063C" w:rsidRDefault="009633AC" w:rsidP="00E25A87">
            <w:pPr>
              <w:pStyle w:val="TblTxt-Basic"/>
              <w:pBdr>
                <w:bottom w:val="single" w:sz="4" w:space="1" w:color="auto"/>
              </w:pBdr>
              <w:jc w:val="center"/>
              <w:rPr>
                <w:b/>
                <w:bCs w:val="0"/>
              </w:rPr>
            </w:pPr>
            <w:r w:rsidRPr="0052063C">
              <w:rPr>
                <w:rFonts w:eastAsiaTheme="minorEastAsia"/>
                <w:b/>
                <w:bCs w:val="0"/>
              </w:rPr>
              <w:t>Number of Options</w:t>
            </w:r>
          </w:p>
        </w:tc>
        <w:tc>
          <w:tcPr>
            <w:tcW w:w="2733" w:type="dxa"/>
            <w:shd w:val="clear" w:color="auto" w:fill="auto"/>
            <w:vAlign w:val="center"/>
          </w:tcPr>
          <w:p w14:paraId="5B85AE44" w14:textId="77777777" w:rsidR="009633AC" w:rsidRPr="0052063C" w:rsidRDefault="009633AC" w:rsidP="00E25A87">
            <w:pPr>
              <w:pStyle w:val="TblTxt-Basic"/>
              <w:pBdr>
                <w:bottom w:val="single" w:sz="4" w:space="1" w:color="auto"/>
              </w:pBdr>
              <w:jc w:val="center"/>
              <w:rPr>
                <w:b/>
                <w:bCs w:val="0"/>
              </w:rPr>
            </w:pPr>
            <w:r w:rsidRPr="0052063C">
              <w:rPr>
                <w:rFonts w:eastAsiaTheme="minorEastAsia"/>
                <w:b/>
                <w:bCs w:val="0"/>
              </w:rPr>
              <w:t>Exercise Price</w:t>
            </w:r>
          </w:p>
        </w:tc>
        <w:tc>
          <w:tcPr>
            <w:tcW w:w="2132" w:type="dxa"/>
            <w:shd w:val="clear" w:color="auto" w:fill="auto"/>
            <w:vAlign w:val="center"/>
          </w:tcPr>
          <w:p w14:paraId="327B4590" w14:textId="77777777" w:rsidR="009633AC" w:rsidRPr="0052063C" w:rsidRDefault="009633AC" w:rsidP="00E25A87">
            <w:pPr>
              <w:pStyle w:val="TblTxt-Basic"/>
              <w:pBdr>
                <w:bottom w:val="single" w:sz="4" w:space="1" w:color="auto"/>
              </w:pBdr>
              <w:jc w:val="center"/>
              <w:rPr>
                <w:b/>
                <w:bCs w:val="0"/>
              </w:rPr>
            </w:pPr>
            <w:r w:rsidRPr="0052063C">
              <w:rPr>
                <w:rFonts w:eastAsiaTheme="minorEastAsia"/>
                <w:b/>
                <w:bCs w:val="0"/>
              </w:rPr>
              <w:t>Expiry Date</w:t>
            </w:r>
          </w:p>
        </w:tc>
      </w:tr>
      <w:tr w:rsidR="009633AC" w:rsidRPr="00124878" w14:paraId="40F2902B" w14:textId="77777777" w:rsidTr="00E25A87">
        <w:trPr>
          <w:trHeight w:hRule="exact" w:val="344"/>
        </w:trPr>
        <w:tc>
          <w:tcPr>
            <w:tcW w:w="2426" w:type="dxa"/>
            <w:shd w:val="clear" w:color="auto" w:fill="auto"/>
          </w:tcPr>
          <w:p w14:paraId="32638FB0" w14:textId="77777777" w:rsidR="009633AC" w:rsidRPr="00BA1373" w:rsidRDefault="009633AC" w:rsidP="00E25A87">
            <w:pPr>
              <w:pStyle w:val="TblTxt-Basic"/>
              <w:rPr>
                <w:highlight w:val="yellow"/>
              </w:rPr>
            </w:pPr>
            <w:r w:rsidRPr="00A52F2C">
              <w:rPr>
                <w:rFonts w:eastAsiaTheme="minorEastAsia"/>
              </w:rPr>
              <w:t>July 24, 2023</w:t>
            </w:r>
          </w:p>
        </w:tc>
        <w:tc>
          <w:tcPr>
            <w:tcW w:w="2306" w:type="dxa"/>
            <w:shd w:val="clear" w:color="auto" w:fill="auto"/>
          </w:tcPr>
          <w:p w14:paraId="308C13E7" w14:textId="77777777" w:rsidR="009633AC" w:rsidRPr="00BA1373" w:rsidRDefault="009633AC" w:rsidP="00E25A87">
            <w:pPr>
              <w:pStyle w:val="TblTxt-Basic"/>
              <w:tabs>
                <w:tab w:val="decimal" w:pos="1336"/>
              </w:tabs>
              <w:rPr>
                <w:highlight w:val="yellow"/>
              </w:rPr>
            </w:pPr>
            <w:r w:rsidRPr="00A52F2C">
              <w:rPr>
                <w:rFonts w:eastAsiaTheme="minorEastAsia"/>
              </w:rPr>
              <w:t>19,480</w:t>
            </w:r>
          </w:p>
        </w:tc>
        <w:tc>
          <w:tcPr>
            <w:tcW w:w="2733" w:type="dxa"/>
            <w:shd w:val="clear" w:color="auto" w:fill="auto"/>
          </w:tcPr>
          <w:p w14:paraId="08E44AE8" w14:textId="77777777" w:rsidR="009633AC" w:rsidRPr="00BA1373" w:rsidRDefault="009633AC" w:rsidP="00E25A87">
            <w:pPr>
              <w:pStyle w:val="TblTxt-Basic"/>
              <w:jc w:val="center"/>
              <w:rPr>
                <w:highlight w:val="yellow"/>
                <w:vertAlign w:val="superscript"/>
              </w:rPr>
            </w:pPr>
            <w:r w:rsidRPr="00A52F2C">
              <w:rPr>
                <w:rFonts w:eastAsiaTheme="minorEastAsia"/>
              </w:rPr>
              <w:t>$0.77</w:t>
            </w:r>
          </w:p>
        </w:tc>
        <w:tc>
          <w:tcPr>
            <w:tcW w:w="2132" w:type="dxa"/>
            <w:shd w:val="clear" w:color="auto" w:fill="auto"/>
          </w:tcPr>
          <w:p w14:paraId="391A4C6C" w14:textId="77777777" w:rsidR="009633AC" w:rsidRPr="00BA1373" w:rsidRDefault="009633AC" w:rsidP="00E25A87">
            <w:pPr>
              <w:pStyle w:val="TblTxt-Basic"/>
              <w:jc w:val="center"/>
              <w:rPr>
                <w:highlight w:val="yellow"/>
              </w:rPr>
            </w:pPr>
            <w:r w:rsidRPr="00A52F2C">
              <w:rPr>
                <w:rFonts w:eastAsiaTheme="minorEastAsia"/>
              </w:rPr>
              <w:t>July 24, 2028</w:t>
            </w:r>
          </w:p>
        </w:tc>
      </w:tr>
      <w:tr w:rsidR="009633AC" w:rsidRPr="00124878" w14:paraId="4DAFD0B2" w14:textId="77777777" w:rsidTr="00E25A87">
        <w:trPr>
          <w:trHeight w:hRule="exact" w:val="344"/>
        </w:trPr>
        <w:tc>
          <w:tcPr>
            <w:tcW w:w="2426" w:type="dxa"/>
            <w:shd w:val="clear" w:color="auto" w:fill="auto"/>
          </w:tcPr>
          <w:p w14:paraId="34919FA8" w14:textId="77777777" w:rsidR="009633AC" w:rsidRPr="00A52F2C" w:rsidRDefault="009633AC" w:rsidP="00E25A87">
            <w:pPr>
              <w:pStyle w:val="TblTxt-Basic"/>
              <w:rPr>
                <w:rFonts w:eastAsiaTheme="minorEastAsia"/>
                <w:highlight w:val="yellow"/>
              </w:rPr>
            </w:pPr>
            <w:r w:rsidRPr="00A52F2C">
              <w:rPr>
                <w:rFonts w:eastAsiaTheme="minorEastAsia"/>
              </w:rPr>
              <w:t>December 20, 2023</w:t>
            </w:r>
          </w:p>
        </w:tc>
        <w:tc>
          <w:tcPr>
            <w:tcW w:w="2306" w:type="dxa"/>
            <w:shd w:val="clear" w:color="auto" w:fill="auto"/>
          </w:tcPr>
          <w:p w14:paraId="51A6C84C" w14:textId="77777777" w:rsidR="009633AC" w:rsidRPr="00A52F2C" w:rsidRDefault="009633AC" w:rsidP="00E25A87">
            <w:pPr>
              <w:pStyle w:val="TblTxt-Basic"/>
              <w:tabs>
                <w:tab w:val="decimal" w:pos="1336"/>
              </w:tabs>
              <w:rPr>
                <w:rFonts w:eastAsiaTheme="minorEastAsia"/>
              </w:rPr>
            </w:pPr>
            <w:r w:rsidRPr="00A52F2C">
              <w:rPr>
                <w:rFonts w:eastAsiaTheme="minorEastAsia"/>
              </w:rPr>
              <w:t>4,592</w:t>
            </w:r>
          </w:p>
        </w:tc>
        <w:tc>
          <w:tcPr>
            <w:tcW w:w="2733" w:type="dxa"/>
            <w:shd w:val="clear" w:color="auto" w:fill="auto"/>
          </w:tcPr>
          <w:p w14:paraId="065EE467" w14:textId="77777777" w:rsidR="009633AC" w:rsidRPr="00A52F2C" w:rsidRDefault="009633AC" w:rsidP="00E25A87">
            <w:pPr>
              <w:pStyle w:val="TblTxt-Basic"/>
              <w:jc w:val="center"/>
              <w:rPr>
                <w:rFonts w:eastAsiaTheme="minorEastAsia"/>
              </w:rPr>
            </w:pPr>
            <w:r w:rsidRPr="00A52F2C">
              <w:rPr>
                <w:rFonts w:eastAsiaTheme="minorEastAsia"/>
              </w:rPr>
              <w:t>$1.09</w:t>
            </w:r>
          </w:p>
        </w:tc>
        <w:tc>
          <w:tcPr>
            <w:tcW w:w="2132" w:type="dxa"/>
            <w:shd w:val="clear" w:color="auto" w:fill="auto"/>
          </w:tcPr>
          <w:p w14:paraId="016D0044" w14:textId="77777777" w:rsidR="009633AC" w:rsidRPr="00A52F2C" w:rsidRDefault="009633AC" w:rsidP="00E25A87">
            <w:pPr>
              <w:pStyle w:val="TblTxt-Basic"/>
              <w:jc w:val="center"/>
              <w:rPr>
                <w:rFonts w:eastAsiaTheme="minorEastAsia"/>
              </w:rPr>
            </w:pPr>
            <w:r w:rsidRPr="00A52F2C">
              <w:rPr>
                <w:rFonts w:eastAsiaTheme="minorEastAsia"/>
              </w:rPr>
              <w:t>Dec</w:t>
            </w:r>
            <w:r>
              <w:rPr>
                <w:rFonts w:eastAsiaTheme="minorEastAsia"/>
              </w:rPr>
              <w:t>ember</w:t>
            </w:r>
            <w:r w:rsidRPr="00A52F2C">
              <w:rPr>
                <w:rFonts w:eastAsiaTheme="minorEastAsia"/>
              </w:rPr>
              <w:t xml:space="preserve"> 20, 2028</w:t>
            </w:r>
          </w:p>
        </w:tc>
      </w:tr>
      <w:tr w:rsidR="009633AC" w:rsidRPr="00124878" w14:paraId="0754CAB9" w14:textId="77777777" w:rsidTr="00E25A87">
        <w:trPr>
          <w:trHeight w:hRule="exact" w:val="344"/>
        </w:trPr>
        <w:tc>
          <w:tcPr>
            <w:tcW w:w="2426" w:type="dxa"/>
            <w:shd w:val="clear" w:color="auto" w:fill="auto"/>
          </w:tcPr>
          <w:p w14:paraId="6CE62C02" w14:textId="77777777" w:rsidR="009633AC" w:rsidRPr="00A52F2C" w:rsidRDefault="009633AC" w:rsidP="00E25A87">
            <w:pPr>
              <w:pStyle w:val="TblTxt-Basic"/>
              <w:rPr>
                <w:rFonts w:eastAsiaTheme="minorEastAsia"/>
                <w:highlight w:val="yellow"/>
              </w:rPr>
            </w:pPr>
            <w:r w:rsidRPr="00A52F2C">
              <w:rPr>
                <w:rFonts w:eastAsiaTheme="minorEastAsia"/>
              </w:rPr>
              <w:t>December 20, 2023</w:t>
            </w:r>
          </w:p>
        </w:tc>
        <w:tc>
          <w:tcPr>
            <w:tcW w:w="2306" w:type="dxa"/>
            <w:shd w:val="clear" w:color="auto" w:fill="auto"/>
          </w:tcPr>
          <w:p w14:paraId="55332AE2" w14:textId="77777777" w:rsidR="009633AC" w:rsidRPr="00A52F2C" w:rsidRDefault="009633AC" w:rsidP="00E25A87">
            <w:pPr>
              <w:pStyle w:val="TblTxt-Basic"/>
              <w:tabs>
                <w:tab w:val="decimal" w:pos="1336"/>
              </w:tabs>
              <w:rPr>
                <w:rFonts w:eastAsiaTheme="minorEastAsia"/>
              </w:rPr>
            </w:pPr>
            <w:r w:rsidRPr="00A52F2C">
              <w:rPr>
                <w:rFonts w:eastAsiaTheme="minorEastAsia"/>
              </w:rPr>
              <w:t>13,775</w:t>
            </w:r>
          </w:p>
        </w:tc>
        <w:tc>
          <w:tcPr>
            <w:tcW w:w="2733" w:type="dxa"/>
            <w:shd w:val="clear" w:color="auto" w:fill="auto"/>
          </w:tcPr>
          <w:p w14:paraId="2700F825" w14:textId="77777777" w:rsidR="009633AC" w:rsidRPr="00A52F2C" w:rsidRDefault="009633AC" w:rsidP="00E25A87">
            <w:pPr>
              <w:pStyle w:val="TblTxt-Basic"/>
              <w:jc w:val="center"/>
              <w:rPr>
                <w:rFonts w:eastAsiaTheme="minorEastAsia"/>
              </w:rPr>
            </w:pPr>
            <w:r w:rsidRPr="00A52F2C">
              <w:rPr>
                <w:rFonts w:eastAsiaTheme="minorEastAsia"/>
              </w:rPr>
              <w:t>$1.09</w:t>
            </w:r>
          </w:p>
        </w:tc>
        <w:tc>
          <w:tcPr>
            <w:tcW w:w="2132" w:type="dxa"/>
            <w:shd w:val="clear" w:color="auto" w:fill="auto"/>
          </w:tcPr>
          <w:p w14:paraId="6B3C6753" w14:textId="77777777" w:rsidR="009633AC" w:rsidRPr="00A52F2C" w:rsidRDefault="009633AC" w:rsidP="00E25A87">
            <w:pPr>
              <w:pStyle w:val="TblTxt-Basic"/>
              <w:jc w:val="center"/>
              <w:rPr>
                <w:rFonts w:eastAsiaTheme="minorEastAsia"/>
              </w:rPr>
            </w:pPr>
            <w:r w:rsidRPr="00A52F2C">
              <w:rPr>
                <w:rFonts w:eastAsiaTheme="minorEastAsia"/>
              </w:rPr>
              <w:t>Dec</w:t>
            </w:r>
            <w:r>
              <w:rPr>
                <w:rFonts w:eastAsiaTheme="minorEastAsia"/>
              </w:rPr>
              <w:t>ember</w:t>
            </w:r>
            <w:r w:rsidRPr="00A52F2C">
              <w:rPr>
                <w:rFonts w:eastAsiaTheme="minorEastAsia"/>
              </w:rPr>
              <w:t xml:space="preserve"> 20, 2028</w:t>
            </w:r>
          </w:p>
        </w:tc>
      </w:tr>
      <w:tr w:rsidR="009633AC" w:rsidRPr="00124878" w14:paraId="68CEAE63" w14:textId="77777777" w:rsidTr="00E25A87">
        <w:trPr>
          <w:trHeight w:hRule="exact" w:val="344"/>
        </w:trPr>
        <w:tc>
          <w:tcPr>
            <w:tcW w:w="2426" w:type="dxa"/>
            <w:shd w:val="clear" w:color="auto" w:fill="auto"/>
          </w:tcPr>
          <w:p w14:paraId="5AF1E084" w14:textId="77777777" w:rsidR="009633AC" w:rsidRPr="00A52F2C" w:rsidRDefault="009633AC" w:rsidP="00E25A87">
            <w:pPr>
              <w:pStyle w:val="TblTxt-Basic"/>
              <w:rPr>
                <w:rFonts w:eastAsiaTheme="minorEastAsia"/>
                <w:highlight w:val="yellow"/>
              </w:rPr>
            </w:pPr>
            <w:r w:rsidRPr="00A52F2C">
              <w:rPr>
                <w:rFonts w:eastAsiaTheme="minorEastAsia"/>
              </w:rPr>
              <w:t>December 20, 2023</w:t>
            </w:r>
          </w:p>
        </w:tc>
        <w:tc>
          <w:tcPr>
            <w:tcW w:w="2306" w:type="dxa"/>
            <w:shd w:val="clear" w:color="auto" w:fill="auto"/>
          </w:tcPr>
          <w:p w14:paraId="0C3F0278" w14:textId="77777777" w:rsidR="009633AC" w:rsidRPr="00A52F2C" w:rsidRDefault="009633AC" w:rsidP="00E25A87">
            <w:pPr>
              <w:pStyle w:val="TblTxt-Basic"/>
              <w:tabs>
                <w:tab w:val="decimal" w:pos="1336"/>
              </w:tabs>
              <w:rPr>
                <w:rFonts w:eastAsiaTheme="minorEastAsia"/>
              </w:rPr>
            </w:pPr>
            <w:r w:rsidRPr="00A52F2C">
              <w:rPr>
                <w:rFonts w:eastAsiaTheme="minorEastAsia"/>
              </w:rPr>
              <w:t>31,325</w:t>
            </w:r>
          </w:p>
        </w:tc>
        <w:tc>
          <w:tcPr>
            <w:tcW w:w="2733" w:type="dxa"/>
            <w:shd w:val="clear" w:color="auto" w:fill="auto"/>
          </w:tcPr>
          <w:p w14:paraId="684E7940" w14:textId="77777777" w:rsidR="009633AC" w:rsidRPr="00A52F2C" w:rsidRDefault="009633AC" w:rsidP="00E25A87">
            <w:pPr>
              <w:pStyle w:val="TblTxt-Basic"/>
              <w:jc w:val="center"/>
              <w:rPr>
                <w:rFonts w:eastAsiaTheme="minorEastAsia"/>
              </w:rPr>
            </w:pPr>
            <w:r w:rsidRPr="00A52F2C">
              <w:rPr>
                <w:rFonts w:eastAsiaTheme="minorEastAsia"/>
              </w:rPr>
              <w:t>$1.09</w:t>
            </w:r>
          </w:p>
        </w:tc>
        <w:tc>
          <w:tcPr>
            <w:tcW w:w="2132" w:type="dxa"/>
            <w:shd w:val="clear" w:color="auto" w:fill="auto"/>
          </w:tcPr>
          <w:p w14:paraId="258E8D47" w14:textId="77777777" w:rsidR="009633AC" w:rsidRPr="00A52F2C" w:rsidRDefault="009633AC" w:rsidP="00E25A87">
            <w:pPr>
              <w:pStyle w:val="TblTxt-Basic"/>
              <w:jc w:val="center"/>
              <w:rPr>
                <w:rFonts w:eastAsiaTheme="minorEastAsia"/>
              </w:rPr>
            </w:pPr>
            <w:r w:rsidRPr="00A52F2C">
              <w:rPr>
                <w:rFonts w:eastAsiaTheme="minorEastAsia"/>
              </w:rPr>
              <w:t>Dec</w:t>
            </w:r>
            <w:r>
              <w:rPr>
                <w:rFonts w:eastAsiaTheme="minorEastAsia"/>
              </w:rPr>
              <w:t>ember</w:t>
            </w:r>
            <w:r w:rsidRPr="00A52F2C">
              <w:rPr>
                <w:rFonts w:eastAsiaTheme="minorEastAsia"/>
              </w:rPr>
              <w:t xml:space="preserve"> 20, 2028</w:t>
            </w:r>
          </w:p>
        </w:tc>
      </w:tr>
      <w:tr w:rsidR="009633AC" w:rsidRPr="00124878" w14:paraId="5B054145" w14:textId="77777777" w:rsidTr="00E25A87">
        <w:trPr>
          <w:trHeight w:hRule="exact" w:val="344"/>
        </w:trPr>
        <w:tc>
          <w:tcPr>
            <w:tcW w:w="2426" w:type="dxa"/>
            <w:shd w:val="clear" w:color="auto" w:fill="auto"/>
          </w:tcPr>
          <w:p w14:paraId="5C0504BF" w14:textId="77777777" w:rsidR="009633AC" w:rsidRPr="00A52F2C" w:rsidRDefault="009633AC" w:rsidP="00E25A87">
            <w:pPr>
              <w:pStyle w:val="TblTxt-Basic"/>
              <w:rPr>
                <w:rFonts w:eastAsiaTheme="minorEastAsia"/>
                <w:highlight w:val="yellow"/>
              </w:rPr>
            </w:pPr>
            <w:r w:rsidRPr="00A52F2C">
              <w:rPr>
                <w:rFonts w:eastAsiaTheme="minorEastAsia"/>
              </w:rPr>
              <w:t>December 20, 2023</w:t>
            </w:r>
          </w:p>
        </w:tc>
        <w:tc>
          <w:tcPr>
            <w:tcW w:w="2306" w:type="dxa"/>
            <w:shd w:val="clear" w:color="auto" w:fill="auto"/>
          </w:tcPr>
          <w:p w14:paraId="47940C19" w14:textId="77777777" w:rsidR="009633AC" w:rsidRPr="00A52F2C" w:rsidRDefault="009633AC" w:rsidP="00E25A87">
            <w:pPr>
              <w:pStyle w:val="TblTxt-Basic"/>
              <w:tabs>
                <w:tab w:val="decimal" w:pos="1336"/>
              </w:tabs>
              <w:rPr>
                <w:rFonts w:eastAsiaTheme="minorEastAsia"/>
              </w:rPr>
            </w:pPr>
            <w:r w:rsidRPr="00A52F2C">
              <w:rPr>
                <w:rFonts w:eastAsiaTheme="minorEastAsia"/>
              </w:rPr>
              <w:t>11,798</w:t>
            </w:r>
          </w:p>
        </w:tc>
        <w:tc>
          <w:tcPr>
            <w:tcW w:w="2733" w:type="dxa"/>
            <w:shd w:val="clear" w:color="auto" w:fill="auto"/>
          </w:tcPr>
          <w:p w14:paraId="15A0E676" w14:textId="77777777" w:rsidR="009633AC" w:rsidRPr="00A52F2C" w:rsidRDefault="009633AC" w:rsidP="00E25A87">
            <w:pPr>
              <w:pStyle w:val="TblTxt-Basic"/>
              <w:jc w:val="center"/>
              <w:rPr>
                <w:rFonts w:eastAsiaTheme="minorEastAsia"/>
              </w:rPr>
            </w:pPr>
            <w:r w:rsidRPr="00A52F2C">
              <w:rPr>
                <w:rFonts w:eastAsiaTheme="minorEastAsia"/>
              </w:rPr>
              <w:t>$1.09</w:t>
            </w:r>
          </w:p>
        </w:tc>
        <w:tc>
          <w:tcPr>
            <w:tcW w:w="2132" w:type="dxa"/>
            <w:shd w:val="clear" w:color="auto" w:fill="auto"/>
          </w:tcPr>
          <w:p w14:paraId="58B60C5D" w14:textId="77777777" w:rsidR="009633AC" w:rsidRPr="00A52F2C" w:rsidRDefault="009633AC" w:rsidP="00E25A87">
            <w:pPr>
              <w:pStyle w:val="TblTxt-Basic"/>
              <w:jc w:val="center"/>
              <w:rPr>
                <w:rFonts w:eastAsiaTheme="minorEastAsia"/>
              </w:rPr>
            </w:pPr>
            <w:r w:rsidRPr="00A52F2C">
              <w:rPr>
                <w:rFonts w:eastAsiaTheme="minorEastAsia"/>
              </w:rPr>
              <w:t>Dec</w:t>
            </w:r>
            <w:r>
              <w:rPr>
                <w:rFonts w:eastAsiaTheme="minorEastAsia"/>
              </w:rPr>
              <w:t>ember</w:t>
            </w:r>
            <w:r w:rsidRPr="00A52F2C">
              <w:rPr>
                <w:rFonts w:eastAsiaTheme="minorEastAsia"/>
              </w:rPr>
              <w:t xml:space="preserve"> 20, 2028</w:t>
            </w:r>
          </w:p>
        </w:tc>
      </w:tr>
    </w:tbl>
    <w:p w14:paraId="73A5ED13" w14:textId="77777777" w:rsidR="009633AC" w:rsidRPr="00124878" w:rsidRDefault="009633AC" w:rsidP="009633AC">
      <w:pPr>
        <w:pStyle w:val="ProspectusL1"/>
        <w:spacing w:before="240" w:after="120"/>
      </w:pPr>
      <w:bookmarkStart w:id="84" w:name="_Toc42803797"/>
      <w:bookmarkStart w:id="85" w:name="_Toc57649493"/>
      <w:bookmarkStart w:id="86" w:name="_Toc161911192"/>
      <w:bookmarkEnd w:id="83"/>
      <w:r w:rsidRPr="00124878">
        <w:lastRenderedPageBreak/>
        <w:t>DIRECTORS AND OFFICERS</w:t>
      </w:r>
      <w:bookmarkEnd w:id="84"/>
      <w:bookmarkEnd w:id="85"/>
      <w:bookmarkEnd w:id="86"/>
    </w:p>
    <w:p w14:paraId="3F84D927" w14:textId="77777777" w:rsidR="009633AC" w:rsidRPr="00124878" w:rsidRDefault="009633AC" w:rsidP="009633AC">
      <w:pPr>
        <w:pStyle w:val="ProspectusL2"/>
        <w:spacing w:after="120"/>
      </w:pPr>
      <w:r w:rsidRPr="00124878">
        <w:t>Name, Occupation and Security Holding</w:t>
      </w:r>
    </w:p>
    <w:p w14:paraId="668B92B2" w14:textId="77777777" w:rsidR="009633AC" w:rsidRDefault="009633AC" w:rsidP="009633AC">
      <w:pPr>
        <w:pStyle w:val="ProspectusCont2"/>
      </w:pPr>
      <w:r w:rsidRPr="00A52F2C">
        <w:rPr>
          <w:rFonts w:eastAsiaTheme="minorHAnsi"/>
        </w:rPr>
        <w:t xml:space="preserve">The following table sets forth the name and residence of each director and executive officer of the Corporation, as well as such individual's position with the Corporation, period of service as a director (if applicable), and principal occupation(s) within the five preceding years. </w:t>
      </w:r>
      <w:r w:rsidRPr="00150250">
        <w:t xml:space="preserve">The term of office of each director will be from the date of the meeting at which he or she is elected until the next annual meeting of </w:t>
      </w:r>
      <w:r>
        <w:t>s</w:t>
      </w:r>
      <w:r w:rsidRPr="00150250">
        <w:t>hareholders, or until his or her successor is elected or appointed.</w:t>
      </w:r>
      <w:r>
        <w:t xml:space="preserve"> Jaco Crouse resigned as chief financial officer and director of the Corporation effective June 3, 2024.</w:t>
      </w:r>
    </w:p>
    <w:tbl>
      <w:tblPr>
        <w:tblStyle w:val="TableGrid"/>
        <w:tblW w:w="5000" w:type="pct"/>
        <w:tblLook w:val="04A0" w:firstRow="1" w:lastRow="0" w:firstColumn="1" w:lastColumn="0" w:noHBand="0" w:noVBand="1"/>
      </w:tblPr>
      <w:tblGrid>
        <w:gridCol w:w="2340"/>
        <w:gridCol w:w="1801"/>
        <w:gridCol w:w="3577"/>
        <w:gridCol w:w="1642"/>
      </w:tblGrid>
      <w:tr w:rsidR="009633AC" w:rsidRPr="005426D1" w14:paraId="275A2F43" w14:textId="77777777" w:rsidTr="00E25A87">
        <w:trPr>
          <w:tblHeader/>
        </w:trPr>
        <w:tc>
          <w:tcPr>
            <w:tcW w:w="1250" w:type="pct"/>
            <w:shd w:val="clear" w:color="auto" w:fill="auto"/>
            <w:vAlign w:val="bottom"/>
          </w:tcPr>
          <w:p w14:paraId="1387953A" w14:textId="77777777" w:rsidR="009633AC" w:rsidRPr="0052063C" w:rsidRDefault="009633AC" w:rsidP="00E25A87">
            <w:pPr>
              <w:pStyle w:val="TblTxt-Basic"/>
              <w:pBdr>
                <w:bottom w:val="single" w:sz="4" w:space="1" w:color="auto"/>
              </w:pBdr>
              <w:jc w:val="center"/>
              <w:rPr>
                <w:b/>
                <w:bCs w:val="0"/>
                <w:sz w:val="18"/>
                <w:szCs w:val="18"/>
              </w:rPr>
            </w:pPr>
            <w:r w:rsidRPr="0052063C">
              <w:rPr>
                <w:b/>
                <w:bCs w:val="0"/>
                <w:sz w:val="18"/>
                <w:szCs w:val="18"/>
              </w:rPr>
              <w:t>Name, Province (or State) and Country of Residence</w:t>
            </w:r>
          </w:p>
        </w:tc>
        <w:tc>
          <w:tcPr>
            <w:tcW w:w="962" w:type="pct"/>
            <w:shd w:val="clear" w:color="auto" w:fill="auto"/>
            <w:vAlign w:val="bottom"/>
          </w:tcPr>
          <w:p w14:paraId="53748E63" w14:textId="77777777" w:rsidR="009633AC" w:rsidRPr="0052063C" w:rsidRDefault="009633AC" w:rsidP="00E25A87">
            <w:pPr>
              <w:pStyle w:val="TblTxt-Basic"/>
              <w:pBdr>
                <w:bottom w:val="single" w:sz="4" w:space="1" w:color="auto"/>
              </w:pBdr>
              <w:jc w:val="center"/>
              <w:rPr>
                <w:b/>
                <w:bCs w:val="0"/>
                <w:sz w:val="18"/>
                <w:szCs w:val="18"/>
              </w:rPr>
            </w:pPr>
            <w:r w:rsidRPr="0052063C">
              <w:rPr>
                <w:b/>
                <w:bCs w:val="0"/>
                <w:sz w:val="18"/>
                <w:szCs w:val="18"/>
              </w:rPr>
              <w:t>Position(s) with the Corporation</w:t>
            </w:r>
          </w:p>
        </w:tc>
        <w:tc>
          <w:tcPr>
            <w:tcW w:w="1911" w:type="pct"/>
            <w:shd w:val="clear" w:color="auto" w:fill="auto"/>
            <w:vAlign w:val="bottom"/>
          </w:tcPr>
          <w:p w14:paraId="39874E45" w14:textId="77777777" w:rsidR="009633AC" w:rsidRPr="0052063C" w:rsidRDefault="009633AC" w:rsidP="00E25A87">
            <w:pPr>
              <w:pStyle w:val="TblTxt-Basic"/>
              <w:pBdr>
                <w:bottom w:val="single" w:sz="4" w:space="1" w:color="auto"/>
              </w:pBdr>
              <w:jc w:val="center"/>
              <w:rPr>
                <w:b/>
                <w:bCs w:val="0"/>
                <w:sz w:val="18"/>
                <w:szCs w:val="18"/>
              </w:rPr>
            </w:pPr>
            <w:r w:rsidRPr="0052063C">
              <w:rPr>
                <w:b/>
                <w:bCs w:val="0"/>
                <w:sz w:val="18"/>
                <w:szCs w:val="18"/>
              </w:rPr>
              <w:t>Principal Occupation</w:t>
            </w:r>
            <w:r>
              <w:rPr>
                <w:b/>
                <w:bCs w:val="0"/>
                <w:sz w:val="18"/>
                <w:szCs w:val="18"/>
              </w:rPr>
              <w:br/>
            </w:r>
            <w:r w:rsidRPr="0052063C">
              <w:rPr>
                <w:b/>
                <w:bCs w:val="0"/>
                <w:sz w:val="18"/>
                <w:szCs w:val="18"/>
              </w:rPr>
              <w:t>for the Past Five Years</w:t>
            </w:r>
          </w:p>
        </w:tc>
        <w:tc>
          <w:tcPr>
            <w:tcW w:w="877" w:type="pct"/>
            <w:shd w:val="clear" w:color="auto" w:fill="auto"/>
            <w:vAlign w:val="bottom"/>
          </w:tcPr>
          <w:p w14:paraId="16D292E6" w14:textId="77777777" w:rsidR="009633AC" w:rsidRPr="0052063C" w:rsidRDefault="009633AC" w:rsidP="00E25A87">
            <w:pPr>
              <w:pStyle w:val="TblTxt-Basic"/>
              <w:pBdr>
                <w:bottom w:val="single" w:sz="4" w:space="1" w:color="auto"/>
              </w:pBdr>
              <w:jc w:val="center"/>
              <w:rPr>
                <w:b/>
                <w:bCs w:val="0"/>
                <w:sz w:val="18"/>
                <w:szCs w:val="18"/>
              </w:rPr>
            </w:pPr>
            <w:r w:rsidRPr="0052063C">
              <w:rPr>
                <w:b/>
                <w:bCs w:val="0"/>
                <w:sz w:val="18"/>
                <w:szCs w:val="18"/>
              </w:rPr>
              <w:t>Served as director or officer of the Corporation since</w:t>
            </w:r>
          </w:p>
        </w:tc>
      </w:tr>
      <w:tr w:rsidR="009633AC" w:rsidRPr="005426D1" w14:paraId="36A2EA36" w14:textId="77777777" w:rsidTr="00E25A87">
        <w:tc>
          <w:tcPr>
            <w:tcW w:w="1250" w:type="pct"/>
            <w:tcBorders>
              <w:bottom w:val="single" w:sz="4" w:space="0" w:color="BFBFBF" w:themeColor="background1" w:themeShade="BF"/>
            </w:tcBorders>
          </w:tcPr>
          <w:p w14:paraId="49D3EF89" w14:textId="77777777" w:rsidR="009633AC" w:rsidRPr="0052063C" w:rsidRDefault="009633AC" w:rsidP="00E25A87">
            <w:pPr>
              <w:pStyle w:val="TblTxt-Basic"/>
              <w:rPr>
                <w:sz w:val="18"/>
                <w:szCs w:val="18"/>
              </w:rPr>
            </w:pPr>
            <w:r w:rsidRPr="0052063C">
              <w:rPr>
                <w:sz w:val="18"/>
                <w:szCs w:val="18"/>
              </w:rPr>
              <w:t>Eldur Ólafsson</w:t>
            </w:r>
            <w:r w:rsidRPr="0052063C">
              <w:rPr>
                <w:sz w:val="18"/>
                <w:szCs w:val="18"/>
                <w:vertAlign w:val="superscript"/>
              </w:rPr>
              <w:t>(5)</w:t>
            </w:r>
          </w:p>
          <w:p w14:paraId="62993E92" w14:textId="77777777" w:rsidR="009633AC" w:rsidRPr="0052063C" w:rsidRDefault="009633AC" w:rsidP="00E25A87">
            <w:pPr>
              <w:pStyle w:val="TblTxt-Basic"/>
              <w:rPr>
                <w:sz w:val="18"/>
                <w:szCs w:val="18"/>
              </w:rPr>
            </w:pPr>
            <w:r w:rsidRPr="0052063C">
              <w:rPr>
                <w:sz w:val="18"/>
                <w:szCs w:val="18"/>
              </w:rPr>
              <w:t>Reykjavik, Iceland</w:t>
            </w:r>
          </w:p>
        </w:tc>
        <w:tc>
          <w:tcPr>
            <w:tcW w:w="962" w:type="pct"/>
            <w:tcBorders>
              <w:bottom w:val="single" w:sz="4" w:space="0" w:color="BFBFBF" w:themeColor="background1" w:themeShade="BF"/>
            </w:tcBorders>
          </w:tcPr>
          <w:p w14:paraId="2C026525" w14:textId="77777777" w:rsidR="009633AC" w:rsidRPr="0052063C" w:rsidRDefault="009633AC" w:rsidP="00E25A87">
            <w:pPr>
              <w:pStyle w:val="TblTxt-Basic"/>
              <w:jc w:val="center"/>
              <w:rPr>
                <w:sz w:val="18"/>
                <w:szCs w:val="18"/>
              </w:rPr>
            </w:pPr>
            <w:r w:rsidRPr="0052063C">
              <w:rPr>
                <w:sz w:val="18"/>
                <w:szCs w:val="18"/>
              </w:rPr>
              <w:t>Chief Executive Officer and Director</w:t>
            </w:r>
          </w:p>
        </w:tc>
        <w:tc>
          <w:tcPr>
            <w:tcW w:w="1911" w:type="pct"/>
            <w:tcBorders>
              <w:bottom w:val="single" w:sz="4" w:space="0" w:color="BFBFBF" w:themeColor="background1" w:themeShade="BF"/>
            </w:tcBorders>
            <w:shd w:val="clear" w:color="auto" w:fill="auto"/>
          </w:tcPr>
          <w:p w14:paraId="72EF0AD0" w14:textId="77777777" w:rsidR="009633AC" w:rsidRPr="0098239F" w:rsidRDefault="009633AC" w:rsidP="00E25A87">
            <w:pPr>
              <w:pStyle w:val="TblTxt-Basic"/>
              <w:jc w:val="both"/>
              <w:rPr>
                <w:sz w:val="18"/>
                <w:szCs w:val="18"/>
                <w:lang w:val="pt-BR"/>
              </w:rPr>
            </w:pPr>
            <w:r w:rsidRPr="0098239F">
              <w:rPr>
                <w:sz w:val="18"/>
                <w:szCs w:val="18"/>
                <w:lang w:val="pt-BR"/>
              </w:rPr>
              <w:t xml:space="preserve">Nalunaq A/S </w:t>
            </w:r>
            <w:r>
              <w:rPr>
                <w:sz w:val="18"/>
                <w:szCs w:val="18"/>
                <w:lang w:val="pt-BR"/>
              </w:rPr>
              <w:t>-</w:t>
            </w:r>
            <w:r w:rsidRPr="0098239F">
              <w:rPr>
                <w:sz w:val="18"/>
                <w:szCs w:val="18"/>
                <w:lang w:val="pt-BR"/>
              </w:rPr>
              <w:t xml:space="preserve"> </w:t>
            </w:r>
            <w:r w:rsidRPr="001E1D52">
              <w:rPr>
                <w:sz w:val="18"/>
                <w:szCs w:val="18"/>
                <w:lang w:val="pt-BR"/>
              </w:rPr>
              <w:t>Director</w:t>
            </w:r>
            <w:r w:rsidRPr="0098239F">
              <w:rPr>
                <w:sz w:val="18"/>
                <w:szCs w:val="18"/>
                <w:lang w:val="pt-BR"/>
              </w:rPr>
              <w:t>, G</w:t>
            </w:r>
            <w:r>
              <w:rPr>
                <w:sz w:val="18"/>
                <w:szCs w:val="18"/>
                <w:lang w:val="pt-BR"/>
              </w:rPr>
              <w:t>ardaq A/S - Director</w:t>
            </w:r>
          </w:p>
        </w:tc>
        <w:tc>
          <w:tcPr>
            <w:tcW w:w="877" w:type="pct"/>
            <w:tcBorders>
              <w:bottom w:val="single" w:sz="4" w:space="0" w:color="BFBFBF" w:themeColor="background1" w:themeShade="BF"/>
            </w:tcBorders>
          </w:tcPr>
          <w:p w14:paraId="577ECD9D" w14:textId="77777777" w:rsidR="009633AC" w:rsidRPr="0052063C" w:rsidRDefault="009633AC" w:rsidP="00E25A87">
            <w:pPr>
              <w:pStyle w:val="TblTxt-Basic"/>
              <w:jc w:val="center"/>
              <w:rPr>
                <w:sz w:val="18"/>
                <w:szCs w:val="18"/>
              </w:rPr>
            </w:pPr>
            <w:r w:rsidRPr="0052063C">
              <w:rPr>
                <w:sz w:val="18"/>
                <w:szCs w:val="18"/>
              </w:rPr>
              <w:t>April 14, 2017</w:t>
            </w:r>
          </w:p>
        </w:tc>
      </w:tr>
      <w:tr w:rsidR="009633AC" w:rsidRPr="005426D1" w14:paraId="50467A3A" w14:textId="77777777" w:rsidTr="00E25A87">
        <w:tc>
          <w:tcPr>
            <w:tcW w:w="1250" w:type="pct"/>
            <w:tcBorders>
              <w:top w:val="single" w:sz="4" w:space="0" w:color="BFBFBF" w:themeColor="background1" w:themeShade="BF"/>
              <w:bottom w:val="single" w:sz="4" w:space="0" w:color="BFBFBF" w:themeColor="background1" w:themeShade="BF"/>
            </w:tcBorders>
          </w:tcPr>
          <w:p w14:paraId="22FFDBDB" w14:textId="77777777" w:rsidR="009633AC" w:rsidRPr="0052063C" w:rsidRDefault="009633AC" w:rsidP="00E25A87">
            <w:pPr>
              <w:pStyle w:val="TblTxt-Basic"/>
              <w:rPr>
                <w:sz w:val="18"/>
                <w:szCs w:val="18"/>
                <w:vertAlign w:val="superscript"/>
              </w:rPr>
            </w:pPr>
            <w:r w:rsidRPr="0052063C">
              <w:rPr>
                <w:sz w:val="18"/>
                <w:szCs w:val="18"/>
              </w:rPr>
              <w:t>Graham Stewart</w:t>
            </w:r>
            <w:r w:rsidRPr="0052063C">
              <w:rPr>
                <w:sz w:val="18"/>
                <w:szCs w:val="18"/>
                <w:vertAlign w:val="superscript"/>
              </w:rPr>
              <w:t>(3)(4)</w:t>
            </w:r>
            <w:r w:rsidRPr="0052063C">
              <w:rPr>
                <w:sz w:val="18"/>
                <w:szCs w:val="18"/>
              </w:rPr>
              <w:t xml:space="preserve"> </w:t>
            </w:r>
          </w:p>
          <w:p w14:paraId="4CA229EA" w14:textId="77777777" w:rsidR="009633AC" w:rsidRPr="0052063C" w:rsidRDefault="009633AC" w:rsidP="00E25A87">
            <w:pPr>
              <w:pStyle w:val="TblTxt-Basic"/>
              <w:rPr>
                <w:sz w:val="18"/>
                <w:szCs w:val="18"/>
              </w:rPr>
            </w:pPr>
            <w:r w:rsidRPr="0052063C">
              <w:rPr>
                <w:sz w:val="18"/>
                <w:szCs w:val="18"/>
              </w:rPr>
              <w:t>Aberdeen, United Kingdom</w:t>
            </w:r>
          </w:p>
          <w:p w14:paraId="042EC92F" w14:textId="77777777" w:rsidR="009633AC" w:rsidRPr="0052063C" w:rsidRDefault="009633AC" w:rsidP="00E25A87">
            <w:pPr>
              <w:pStyle w:val="TblTxt-Basic"/>
              <w:rPr>
                <w:sz w:val="18"/>
                <w:szCs w:val="18"/>
              </w:rPr>
            </w:pPr>
          </w:p>
        </w:tc>
        <w:tc>
          <w:tcPr>
            <w:tcW w:w="962" w:type="pct"/>
            <w:tcBorders>
              <w:top w:val="single" w:sz="4" w:space="0" w:color="BFBFBF" w:themeColor="background1" w:themeShade="BF"/>
              <w:bottom w:val="single" w:sz="4" w:space="0" w:color="BFBFBF" w:themeColor="background1" w:themeShade="BF"/>
            </w:tcBorders>
          </w:tcPr>
          <w:p w14:paraId="11E8B504" w14:textId="77777777" w:rsidR="009633AC" w:rsidRPr="0052063C" w:rsidRDefault="009633AC" w:rsidP="00E25A87">
            <w:pPr>
              <w:pStyle w:val="TblTxt-Basic"/>
              <w:jc w:val="center"/>
              <w:rPr>
                <w:sz w:val="18"/>
                <w:szCs w:val="18"/>
              </w:rPr>
            </w:pPr>
            <w:r w:rsidRPr="0052063C">
              <w:rPr>
                <w:sz w:val="18"/>
                <w:szCs w:val="18"/>
              </w:rPr>
              <w:t>Chairman of the Board and Director</w:t>
            </w:r>
          </w:p>
        </w:tc>
        <w:tc>
          <w:tcPr>
            <w:tcW w:w="1911" w:type="pct"/>
            <w:tcBorders>
              <w:top w:val="single" w:sz="4" w:space="0" w:color="BFBFBF" w:themeColor="background1" w:themeShade="BF"/>
              <w:bottom w:val="single" w:sz="4" w:space="0" w:color="BFBFBF" w:themeColor="background1" w:themeShade="BF"/>
            </w:tcBorders>
          </w:tcPr>
          <w:p w14:paraId="277522FC" w14:textId="77777777" w:rsidR="009633AC" w:rsidRPr="0052063C" w:rsidRDefault="009633AC" w:rsidP="00E25A87">
            <w:pPr>
              <w:pStyle w:val="TblTxt-Basic"/>
              <w:jc w:val="both"/>
              <w:rPr>
                <w:sz w:val="18"/>
                <w:szCs w:val="18"/>
              </w:rPr>
            </w:pPr>
            <w:r w:rsidRPr="0052063C">
              <w:rPr>
                <w:sz w:val="18"/>
                <w:szCs w:val="18"/>
              </w:rPr>
              <w:t>Chief Executive Officer of Faroe Petroleum PLC from 2002 to April 2019; Chairman Longboat Energy PLC since July 2019</w:t>
            </w:r>
          </w:p>
        </w:tc>
        <w:tc>
          <w:tcPr>
            <w:tcW w:w="877" w:type="pct"/>
            <w:tcBorders>
              <w:top w:val="single" w:sz="4" w:space="0" w:color="BFBFBF" w:themeColor="background1" w:themeShade="BF"/>
              <w:bottom w:val="single" w:sz="4" w:space="0" w:color="BFBFBF" w:themeColor="background1" w:themeShade="BF"/>
            </w:tcBorders>
          </w:tcPr>
          <w:p w14:paraId="53CBF0CB" w14:textId="77777777" w:rsidR="009633AC" w:rsidRPr="0052063C" w:rsidRDefault="009633AC" w:rsidP="00E25A87">
            <w:pPr>
              <w:pStyle w:val="TblTxt-Basic"/>
              <w:jc w:val="center"/>
              <w:rPr>
                <w:sz w:val="18"/>
                <w:szCs w:val="18"/>
              </w:rPr>
            </w:pPr>
          </w:p>
          <w:p w14:paraId="51E16E04" w14:textId="77777777" w:rsidR="009633AC" w:rsidRPr="0052063C" w:rsidRDefault="009633AC" w:rsidP="00E25A87">
            <w:pPr>
              <w:pStyle w:val="TblTxt-Basic"/>
              <w:jc w:val="center"/>
              <w:rPr>
                <w:sz w:val="18"/>
                <w:szCs w:val="18"/>
              </w:rPr>
            </w:pPr>
            <w:r w:rsidRPr="0052063C">
              <w:rPr>
                <w:sz w:val="18"/>
                <w:szCs w:val="18"/>
              </w:rPr>
              <w:t>April 14, 2017</w:t>
            </w:r>
          </w:p>
        </w:tc>
      </w:tr>
      <w:tr w:rsidR="009633AC" w:rsidRPr="005426D1" w14:paraId="054022E8" w14:textId="77777777" w:rsidTr="00E25A87">
        <w:tc>
          <w:tcPr>
            <w:tcW w:w="1250" w:type="pct"/>
            <w:tcBorders>
              <w:top w:val="single" w:sz="4" w:space="0" w:color="BFBFBF" w:themeColor="background1" w:themeShade="BF"/>
              <w:bottom w:val="single" w:sz="4" w:space="0" w:color="BFBFBF" w:themeColor="background1" w:themeShade="BF"/>
            </w:tcBorders>
          </w:tcPr>
          <w:p w14:paraId="3ACBD6B1" w14:textId="77777777" w:rsidR="009633AC" w:rsidRPr="0052063C" w:rsidRDefault="009633AC" w:rsidP="00E25A87">
            <w:pPr>
              <w:pStyle w:val="TblTxt-Basic"/>
              <w:rPr>
                <w:sz w:val="18"/>
                <w:szCs w:val="18"/>
                <w:vertAlign w:val="superscript"/>
              </w:rPr>
            </w:pPr>
            <w:r w:rsidRPr="0052063C">
              <w:rPr>
                <w:sz w:val="18"/>
                <w:szCs w:val="18"/>
              </w:rPr>
              <w:t>Jaco Crouse</w:t>
            </w:r>
            <w:r w:rsidRPr="0052063C">
              <w:rPr>
                <w:sz w:val="18"/>
                <w:szCs w:val="18"/>
                <w:vertAlign w:val="superscript"/>
              </w:rPr>
              <w:t>(5)</w:t>
            </w:r>
          </w:p>
          <w:p w14:paraId="38F8130D" w14:textId="77777777" w:rsidR="009633AC" w:rsidRPr="0052063C" w:rsidRDefault="009633AC" w:rsidP="00E25A87">
            <w:pPr>
              <w:pStyle w:val="TblTxt-Basic"/>
              <w:rPr>
                <w:sz w:val="18"/>
                <w:szCs w:val="18"/>
              </w:rPr>
            </w:pPr>
            <w:r w:rsidRPr="0052063C">
              <w:rPr>
                <w:sz w:val="18"/>
                <w:szCs w:val="18"/>
              </w:rPr>
              <w:t>Ontario, Canada</w:t>
            </w:r>
          </w:p>
          <w:p w14:paraId="1FFFAFE4" w14:textId="77777777" w:rsidR="009633AC" w:rsidRPr="0052063C" w:rsidRDefault="009633AC" w:rsidP="00E25A87">
            <w:pPr>
              <w:pStyle w:val="TblTxt-Basic"/>
              <w:rPr>
                <w:sz w:val="18"/>
                <w:szCs w:val="18"/>
              </w:rPr>
            </w:pPr>
          </w:p>
        </w:tc>
        <w:tc>
          <w:tcPr>
            <w:tcW w:w="962" w:type="pct"/>
            <w:tcBorders>
              <w:top w:val="single" w:sz="4" w:space="0" w:color="BFBFBF" w:themeColor="background1" w:themeShade="BF"/>
              <w:bottom w:val="single" w:sz="4" w:space="0" w:color="BFBFBF" w:themeColor="background1" w:themeShade="BF"/>
            </w:tcBorders>
          </w:tcPr>
          <w:p w14:paraId="2F0B9353" w14:textId="77777777" w:rsidR="009633AC" w:rsidRPr="0052063C" w:rsidRDefault="009633AC" w:rsidP="00E25A87">
            <w:pPr>
              <w:pStyle w:val="TblTxt-Basic"/>
              <w:jc w:val="center"/>
              <w:rPr>
                <w:sz w:val="18"/>
                <w:szCs w:val="18"/>
              </w:rPr>
            </w:pPr>
            <w:r w:rsidRPr="0052063C">
              <w:rPr>
                <w:sz w:val="18"/>
                <w:szCs w:val="18"/>
              </w:rPr>
              <w:t>Chief Financial Officer and Director</w:t>
            </w:r>
          </w:p>
          <w:p w14:paraId="6A1F944B" w14:textId="77777777" w:rsidR="009633AC" w:rsidRPr="0052063C" w:rsidRDefault="009633AC" w:rsidP="00E25A87">
            <w:pPr>
              <w:pStyle w:val="TblTxt-Basic"/>
              <w:jc w:val="center"/>
              <w:rPr>
                <w:sz w:val="18"/>
                <w:szCs w:val="18"/>
              </w:rPr>
            </w:pPr>
          </w:p>
        </w:tc>
        <w:tc>
          <w:tcPr>
            <w:tcW w:w="1911" w:type="pct"/>
            <w:tcBorders>
              <w:top w:val="single" w:sz="4" w:space="0" w:color="BFBFBF" w:themeColor="background1" w:themeShade="BF"/>
              <w:bottom w:val="single" w:sz="4" w:space="0" w:color="BFBFBF" w:themeColor="background1" w:themeShade="BF"/>
            </w:tcBorders>
          </w:tcPr>
          <w:p w14:paraId="5888E37A" w14:textId="77777777" w:rsidR="009633AC" w:rsidRPr="0052063C" w:rsidRDefault="009633AC" w:rsidP="00E25A87">
            <w:pPr>
              <w:pStyle w:val="TblTxt-Basic"/>
              <w:jc w:val="both"/>
              <w:rPr>
                <w:sz w:val="18"/>
                <w:szCs w:val="18"/>
              </w:rPr>
            </w:pPr>
            <w:r w:rsidRPr="0052063C">
              <w:rPr>
                <w:sz w:val="18"/>
                <w:szCs w:val="18"/>
              </w:rPr>
              <w:t xml:space="preserve">Founding member of Triple Flag Mining Finance Ltd. </w:t>
            </w:r>
            <w:r>
              <w:rPr>
                <w:sz w:val="18"/>
                <w:szCs w:val="18"/>
              </w:rPr>
              <w:t xml:space="preserve">- </w:t>
            </w:r>
            <w:r w:rsidRPr="0052063C">
              <w:rPr>
                <w:sz w:val="18"/>
                <w:szCs w:val="18"/>
              </w:rPr>
              <w:t>September 2016 to June 2019;  CFO for Detour Gold Corp.</w:t>
            </w:r>
            <w:r>
              <w:rPr>
                <w:sz w:val="18"/>
                <w:szCs w:val="18"/>
              </w:rPr>
              <w:t xml:space="preserve"> -</w:t>
            </w:r>
            <w:r w:rsidRPr="0052063C">
              <w:rPr>
                <w:sz w:val="18"/>
                <w:szCs w:val="18"/>
              </w:rPr>
              <w:t xml:space="preserve"> July 2019 to January 2020;  Founder Quant Mining </w:t>
            </w:r>
            <w:r>
              <w:rPr>
                <w:sz w:val="18"/>
                <w:szCs w:val="18"/>
              </w:rPr>
              <w:t xml:space="preserve">- </w:t>
            </w:r>
            <w:r w:rsidRPr="0052063C">
              <w:rPr>
                <w:sz w:val="18"/>
                <w:szCs w:val="18"/>
              </w:rPr>
              <w:t>June 2020 to Jan 2021</w:t>
            </w:r>
          </w:p>
        </w:tc>
        <w:tc>
          <w:tcPr>
            <w:tcW w:w="877" w:type="pct"/>
            <w:tcBorders>
              <w:top w:val="single" w:sz="4" w:space="0" w:color="BFBFBF" w:themeColor="background1" w:themeShade="BF"/>
              <w:bottom w:val="single" w:sz="4" w:space="0" w:color="BFBFBF" w:themeColor="background1" w:themeShade="BF"/>
            </w:tcBorders>
          </w:tcPr>
          <w:p w14:paraId="168B9E2F" w14:textId="77777777" w:rsidR="009633AC" w:rsidRPr="0052063C" w:rsidRDefault="009633AC" w:rsidP="00E25A87">
            <w:pPr>
              <w:pStyle w:val="TblTxt-Basic"/>
              <w:jc w:val="center"/>
              <w:rPr>
                <w:sz w:val="18"/>
                <w:szCs w:val="18"/>
              </w:rPr>
            </w:pPr>
            <w:r w:rsidRPr="0052063C">
              <w:rPr>
                <w:sz w:val="18"/>
                <w:szCs w:val="18"/>
              </w:rPr>
              <w:t>April 28 2021</w:t>
            </w:r>
          </w:p>
        </w:tc>
      </w:tr>
      <w:tr w:rsidR="009633AC" w:rsidRPr="005426D1" w14:paraId="1241B216" w14:textId="77777777" w:rsidTr="00E25A87">
        <w:tc>
          <w:tcPr>
            <w:tcW w:w="1250" w:type="pct"/>
            <w:tcBorders>
              <w:top w:val="single" w:sz="4" w:space="0" w:color="BFBFBF" w:themeColor="background1" w:themeShade="BF"/>
              <w:bottom w:val="single" w:sz="4" w:space="0" w:color="BFBFBF" w:themeColor="background1" w:themeShade="BF"/>
            </w:tcBorders>
          </w:tcPr>
          <w:p w14:paraId="0887C9BE" w14:textId="77777777" w:rsidR="009633AC" w:rsidRPr="0052063C" w:rsidRDefault="009633AC" w:rsidP="00E25A87">
            <w:pPr>
              <w:pStyle w:val="TblTxt-Basic"/>
              <w:rPr>
                <w:sz w:val="18"/>
                <w:szCs w:val="18"/>
              </w:rPr>
            </w:pPr>
            <w:r w:rsidRPr="0052063C">
              <w:rPr>
                <w:sz w:val="18"/>
                <w:szCs w:val="18"/>
              </w:rPr>
              <w:t>Liane Kelly</w:t>
            </w:r>
            <w:r w:rsidRPr="0052063C">
              <w:rPr>
                <w:sz w:val="18"/>
                <w:szCs w:val="18"/>
                <w:vertAlign w:val="superscript"/>
              </w:rPr>
              <w:t>(2)(3)</w:t>
            </w:r>
          </w:p>
          <w:p w14:paraId="5C533EFC" w14:textId="77777777" w:rsidR="009633AC" w:rsidRPr="0052063C" w:rsidRDefault="009633AC" w:rsidP="00E25A87">
            <w:pPr>
              <w:pStyle w:val="TblTxt-Basic"/>
              <w:rPr>
                <w:sz w:val="18"/>
                <w:szCs w:val="18"/>
              </w:rPr>
            </w:pPr>
            <w:r w:rsidRPr="0052063C">
              <w:rPr>
                <w:sz w:val="18"/>
                <w:szCs w:val="18"/>
              </w:rPr>
              <w:t>Ontario, Canada</w:t>
            </w:r>
          </w:p>
        </w:tc>
        <w:tc>
          <w:tcPr>
            <w:tcW w:w="962" w:type="pct"/>
            <w:tcBorders>
              <w:top w:val="single" w:sz="4" w:space="0" w:color="BFBFBF" w:themeColor="background1" w:themeShade="BF"/>
              <w:bottom w:val="single" w:sz="4" w:space="0" w:color="BFBFBF" w:themeColor="background1" w:themeShade="BF"/>
            </w:tcBorders>
          </w:tcPr>
          <w:p w14:paraId="00A435E6" w14:textId="77777777" w:rsidR="009633AC" w:rsidRPr="0052063C" w:rsidRDefault="009633AC" w:rsidP="00E25A87">
            <w:pPr>
              <w:pStyle w:val="TblTxt-Basic"/>
              <w:jc w:val="center"/>
              <w:rPr>
                <w:sz w:val="18"/>
                <w:szCs w:val="18"/>
              </w:rPr>
            </w:pPr>
            <w:r w:rsidRPr="0052063C">
              <w:rPr>
                <w:sz w:val="18"/>
                <w:szCs w:val="18"/>
              </w:rPr>
              <w:t>Director</w:t>
            </w:r>
          </w:p>
        </w:tc>
        <w:tc>
          <w:tcPr>
            <w:tcW w:w="1911" w:type="pct"/>
            <w:tcBorders>
              <w:top w:val="single" w:sz="4" w:space="0" w:color="BFBFBF" w:themeColor="background1" w:themeShade="BF"/>
              <w:bottom w:val="single" w:sz="4" w:space="0" w:color="BFBFBF" w:themeColor="background1" w:themeShade="BF"/>
            </w:tcBorders>
          </w:tcPr>
          <w:p w14:paraId="36B45EB2" w14:textId="77777777" w:rsidR="009633AC" w:rsidRPr="0052063C" w:rsidRDefault="009633AC" w:rsidP="00E25A87">
            <w:pPr>
              <w:pStyle w:val="TblTxt-Basic"/>
              <w:jc w:val="both"/>
              <w:rPr>
                <w:sz w:val="18"/>
                <w:szCs w:val="18"/>
              </w:rPr>
            </w:pPr>
            <w:r w:rsidRPr="0052063C">
              <w:rPr>
                <w:sz w:val="18"/>
                <w:szCs w:val="18"/>
              </w:rPr>
              <w:t>Director and member of HSESS Committee in B2Gold Corp</w:t>
            </w:r>
          </w:p>
        </w:tc>
        <w:tc>
          <w:tcPr>
            <w:tcW w:w="877" w:type="pct"/>
            <w:tcBorders>
              <w:top w:val="single" w:sz="4" w:space="0" w:color="BFBFBF" w:themeColor="background1" w:themeShade="BF"/>
              <w:bottom w:val="single" w:sz="4" w:space="0" w:color="BFBFBF" w:themeColor="background1" w:themeShade="BF"/>
            </w:tcBorders>
          </w:tcPr>
          <w:p w14:paraId="40A19799" w14:textId="77777777" w:rsidR="009633AC" w:rsidRPr="0052063C" w:rsidRDefault="009633AC" w:rsidP="00E25A87">
            <w:pPr>
              <w:pStyle w:val="TblTxt-Basic"/>
              <w:jc w:val="center"/>
              <w:rPr>
                <w:sz w:val="18"/>
                <w:szCs w:val="18"/>
              </w:rPr>
            </w:pPr>
            <w:r w:rsidRPr="0052063C">
              <w:rPr>
                <w:sz w:val="18"/>
                <w:szCs w:val="18"/>
              </w:rPr>
              <w:t>August 26, 2021</w:t>
            </w:r>
          </w:p>
        </w:tc>
      </w:tr>
      <w:tr w:rsidR="009633AC" w:rsidRPr="005426D1" w14:paraId="2B1F8F86" w14:textId="77777777" w:rsidTr="00E25A87">
        <w:tc>
          <w:tcPr>
            <w:tcW w:w="1250" w:type="pct"/>
            <w:tcBorders>
              <w:top w:val="single" w:sz="4" w:space="0" w:color="BFBFBF" w:themeColor="background1" w:themeShade="BF"/>
              <w:bottom w:val="single" w:sz="4" w:space="0" w:color="BFBFBF" w:themeColor="background1" w:themeShade="BF"/>
            </w:tcBorders>
          </w:tcPr>
          <w:p w14:paraId="7D599FE0" w14:textId="77777777" w:rsidR="009633AC" w:rsidRPr="0052063C" w:rsidRDefault="009633AC" w:rsidP="00E25A87">
            <w:pPr>
              <w:pStyle w:val="TblTxt-Basic"/>
              <w:rPr>
                <w:sz w:val="18"/>
                <w:szCs w:val="18"/>
              </w:rPr>
            </w:pPr>
            <w:r w:rsidRPr="0052063C">
              <w:rPr>
                <w:sz w:val="18"/>
                <w:szCs w:val="18"/>
              </w:rPr>
              <w:t>David Neuhauser</w:t>
            </w:r>
            <w:r w:rsidRPr="0052063C">
              <w:rPr>
                <w:sz w:val="18"/>
                <w:szCs w:val="18"/>
                <w:vertAlign w:val="superscript"/>
              </w:rPr>
              <w:t>(1)(3)</w:t>
            </w:r>
          </w:p>
          <w:p w14:paraId="725742D1" w14:textId="77777777" w:rsidR="009633AC" w:rsidRPr="0052063C" w:rsidRDefault="009633AC" w:rsidP="00E25A87">
            <w:pPr>
              <w:pStyle w:val="TblTxt-Basic"/>
              <w:rPr>
                <w:sz w:val="18"/>
                <w:szCs w:val="18"/>
              </w:rPr>
            </w:pPr>
            <w:r w:rsidRPr="0052063C">
              <w:rPr>
                <w:sz w:val="18"/>
                <w:szCs w:val="18"/>
              </w:rPr>
              <w:t>Illinois, USA</w:t>
            </w:r>
          </w:p>
        </w:tc>
        <w:tc>
          <w:tcPr>
            <w:tcW w:w="962" w:type="pct"/>
            <w:tcBorders>
              <w:top w:val="single" w:sz="4" w:space="0" w:color="BFBFBF" w:themeColor="background1" w:themeShade="BF"/>
              <w:bottom w:val="single" w:sz="4" w:space="0" w:color="BFBFBF" w:themeColor="background1" w:themeShade="BF"/>
            </w:tcBorders>
          </w:tcPr>
          <w:p w14:paraId="18AB423E" w14:textId="77777777" w:rsidR="009633AC" w:rsidRPr="0052063C" w:rsidRDefault="009633AC" w:rsidP="00E25A87">
            <w:pPr>
              <w:pStyle w:val="TblTxt-Basic"/>
              <w:jc w:val="center"/>
              <w:rPr>
                <w:sz w:val="18"/>
                <w:szCs w:val="18"/>
              </w:rPr>
            </w:pPr>
            <w:r w:rsidRPr="0052063C">
              <w:rPr>
                <w:sz w:val="18"/>
                <w:szCs w:val="18"/>
              </w:rPr>
              <w:t>Director</w:t>
            </w:r>
          </w:p>
        </w:tc>
        <w:tc>
          <w:tcPr>
            <w:tcW w:w="1911" w:type="pct"/>
            <w:tcBorders>
              <w:top w:val="single" w:sz="4" w:space="0" w:color="BFBFBF" w:themeColor="background1" w:themeShade="BF"/>
              <w:bottom w:val="single" w:sz="4" w:space="0" w:color="BFBFBF" w:themeColor="background1" w:themeShade="BF"/>
            </w:tcBorders>
          </w:tcPr>
          <w:p w14:paraId="7D18F0CD" w14:textId="528993E7" w:rsidR="009633AC" w:rsidRPr="0052063C" w:rsidRDefault="009633AC" w:rsidP="00E25A87">
            <w:pPr>
              <w:pStyle w:val="TblTxt-Basic"/>
              <w:jc w:val="both"/>
              <w:rPr>
                <w:sz w:val="18"/>
                <w:szCs w:val="18"/>
              </w:rPr>
            </w:pPr>
            <w:r w:rsidRPr="0052063C">
              <w:rPr>
                <w:sz w:val="18"/>
                <w:szCs w:val="18"/>
              </w:rPr>
              <w:t>Founder and Managing Director of Livermore Partners</w:t>
            </w:r>
          </w:p>
        </w:tc>
        <w:tc>
          <w:tcPr>
            <w:tcW w:w="877" w:type="pct"/>
            <w:tcBorders>
              <w:top w:val="single" w:sz="4" w:space="0" w:color="BFBFBF" w:themeColor="background1" w:themeShade="BF"/>
              <w:bottom w:val="single" w:sz="4" w:space="0" w:color="BFBFBF" w:themeColor="background1" w:themeShade="BF"/>
            </w:tcBorders>
          </w:tcPr>
          <w:p w14:paraId="40DAF616" w14:textId="77777777" w:rsidR="009633AC" w:rsidRPr="0052063C" w:rsidRDefault="009633AC" w:rsidP="00E25A87">
            <w:pPr>
              <w:pStyle w:val="TblTxt-Basic"/>
              <w:jc w:val="center"/>
              <w:rPr>
                <w:sz w:val="18"/>
                <w:szCs w:val="18"/>
              </w:rPr>
            </w:pPr>
            <w:r w:rsidRPr="0052063C">
              <w:rPr>
                <w:sz w:val="18"/>
                <w:szCs w:val="18"/>
              </w:rPr>
              <w:t>June 09, 2021</w:t>
            </w:r>
          </w:p>
        </w:tc>
      </w:tr>
      <w:tr w:rsidR="009633AC" w:rsidRPr="005426D1" w14:paraId="3A9E6058" w14:textId="77777777" w:rsidTr="00E25A87">
        <w:tc>
          <w:tcPr>
            <w:tcW w:w="1250" w:type="pct"/>
            <w:tcBorders>
              <w:top w:val="single" w:sz="4" w:space="0" w:color="BFBFBF" w:themeColor="background1" w:themeShade="BF"/>
              <w:bottom w:val="single" w:sz="4" w:space="0" w:color="BFBFBF" w:themeColor="background1" w:themeShade="BF"/>
            </w:tcBorders>
          </w:tcPr>
          <w:p w14:paraId="74D1BFDF" w14:textId="77777777" w:rsidR="009633AC" w:rsidRPr="0052063C" w:rsidRDefault="009633AC" w:rsidP="00E25A87">
            <w:pPr>
              <w:pStyle w:val="TblTxt-Basic"/>
              <w:rPr>
                <w:sz w:val="18"/>
                <w:szCs w:val="18"/>
                <w:vertAlign w:val="superscript"/>
              </w:rPr>
            </w:pPr>
            <w:r w:rsidRPr="0052063C">
              <w:rPr>
                <w:sz w:val="18"/>
                <w:szCs w:val="18"/>
              </w:rPr>
              <w:t xml:space="preserve">Sigurbjorn Thorkelsson </w:t>
            </w:r>
            <w:r w:rsidRPr="0052063C">
              <w:rPr>
                <w:sz w:val="18"/>
                <w:szCs w:val="18"/>
                <w:vertAlign w:val="superscript"/>
              </w:rPr>
              <w:t>(1)(4)</w:t>
            </w:r>
          </w:p>
          <w:p w14:paraId="2DBAD70F" w14:textId="77777777" w:rsidR="009633AC" w:rsidRPr="0052063C" w:rsidRDefault="009633AC" w:rsidP="00E25A87">
            <w:pPr>
              <w:pStyle w:val="TblTxt-Basic"/>
              <w:rPr>
                <w:sz w:val="18"/>
                <w:szCs w:val="18"/>
              </w:rPr>
            </w:pPr>
            <w:r w:rsidRPr="0052063C">
              <w:rPr>
                <w:sz w:val="18"/>
                <w:szCs w:val="18"/>
              </w:rPr>
              <w:t>Buggiano, Italy</w:t>
            </w:r>
          </w:p>
        </w:tc>
        <w:tc>
          <w:tcPr>
            <w:tcW w:w="962" w:type="pct"/>
            <w:tcBorders>
              <w:top w:val="single" w:sz="4" w:space="0" w:color="BFBFBF" w:themeColor="background1" w:themeShade="BF"/>
              <w:bottom w:val="single" w:sz="4" w:space="0" w:color="BFBFBF" w:themeColor="background1" w:themeShade="BF"/>
            </w:tcBorders>
          </w:tcPr>
          <w:p w14:paraId="73D91677" w14:textId="77777777" w:rsidR="009633AC" w:rsidRPr="0052063C" w:rsidRDefault="009633AC" w:rsidP="00E25A87">
            <w:pPr>
              <w:pStyle w:val="TblTxt-Basic"/>
              <w:jc w:val="center"/>
              <w:rPr>
                <w:sz w:val="18"/>
                <w:szCs w:val="18"/>
                <w:lang w:val="en-US"/>
              </w:rPr>
            </w:pPr>
            <w:r w:rsidRPr="0052063C">
              <w:rPr>
                <w:sz w:val="18"/>
                <w:szCs w:val="18"/>
              </w:rPr>
              <w:t>Director</w:t>
            </w:r>
          </w:p>
        </w:tc>
        <w:tc>
          <w:tcPr>
            <w:tcW w:w="1911" w:type="pct"/>
            <w:tcBorders>
              <w:top w:val="single" w:sz="4" w:space="0" w:color="BFBFBF" w:themeColor="background1" w:themeShade="BF"/>
              <w:bottom w:val="single" w:sz="4" w:space="0" w:color="BFBFBF" w:themeColor="background1" w:themeShade="BF"/>
            </w:tcBorders>
          </w:tcPr>
          <w:p w14:paraId="6A3FC006" w14:textId="7F90D8D6" w:rsidR="009633AC" w:rsidRPr="004B4235" w:rsidRDefault="009633AC" w:rsidP="00E25A87">
            <w:pPr>
              <w:pStyle w:val="TblTxt-Basic"/>
              <w:jc w:val="both"/>
              <w:rPr>
                <w:sz w:val="18"/>
                <w:szCs w:val="18"/>
                <w:lang w:val="en-GB"/>
              </w:rPr>
            </w:pPr>
            <w:r w:rsidRPr="0052063C">
              <w:rPr>
                <w:sz w:val="18"/>
                <w:szCs w:val="18"/>
                <w:lang w:val="en-US"/>
              </w:rPr>
              <w:t>Chairman of Fossar Investment Bank hf, Iceland</w:t>
            </w:r>
            <w:r w:rsidR="006020CD">
              <w:rPr>
                <w:sz w:val="18"/>
                <w:szCs w:val="18"/>
                <w:lang w:val="en-US"/>
              </w:rPr>
              <w:t xml:space="preserve"> (Fossar is an investment company)</w:t>
            </w:r>
          </w:p>
        </w:tc>
        <w:tc>
          <w:tcPr>
            <w:tcW w:w="877" w:type="pct"/>
            <w:tcBorders>
              <w:top w:val="single" w:sz="4" w:space="0" w:color="BFBFBF" w:themeColor="background1" w:themeShade="BF"/>
              <w:bottom w:val="single" w:sz="4" w:space="0" w:color="BFBFBF" w:themeColor="background1" w:themeShade="BF"/>
            </w:tcBorders>
          </w:tcPr>
          <w:p w14:paraId="2AB69C7E" w14:textId="77777777" w:rsidR="009633AC" w:rsidRPr="0052063C" w:rsidRDefault="009633AC" w:rsidP="00E25A87">
            <w:pPr>
              <w:pStyle w:val="TblTxt-Basic"/>
              <w:jc w:val="center"/>
              <w:rPr>
                <w:sz w:val="18"/>
                <w:szCs w:val="18"/>
              </w:rPr>
            </w:pPr>
            <w:r w:rsidRPr="0052063C">
              <w:rPr>
                <w:sz w:val="18"/>
                <w:szCs w:val="18"/>
              </w:rPr>
              <w:t>July 27, 2020</w:t>
            </w:r>
          </w:p>
        </w:tc>
      </w:tr>
      <w:tr w:rsidR="009633AC" w:rsidRPr="005426D1" w14:paraId="672EE798" w14:textId="77777777" w:rsidTr="00E25A87">
        <w:tc>
          <w:tcPr>
            <w:tcW w:w="1250" w:type="pct"/>
            <w:tcBorders>
              <w:top w:val="single" w:sz="4" w:space="0" w:color="BFBFBF" w:themeColor="background1" w:themeShade="BF"/>
              <w:bottom w:val="single" w:sz="4" w:space="0" w:color="BFBFBF" w:themeColor="background1" w:themeShade="BF"/>
            </w:tcBorders>
          </w:tcPr>
          <w:p w14:paraId="68E2F040" w14:textId="77777777" w:rsidR="009633AC" w:rsidRPr="0052063C" w:rsidRDefault="009633AC" w:rsidP="00E25A87">
            <w:pPr>
              <w:pStyle w:val="TblTxt-Basic"/>
              <w:rPr>
                <w:sz w:val="18"/>
                <w:szCs w:val="18"/>
              </w:rPr>
            </w:pPr>
            <w:r w:rsidRPr="0052063C">
              <w:rPr>
                <w:sz w:val="18"/>
                <w:szCs w:val="18"/>
              </w:rPr>
              <w:t>Line Frederiksen</w:t>
            </w:r>
            <w:r w:rsidRPr="0052063C">
              <w:rPr>
                <w:sz w:val="18"/>
                <w:szCs w:val="18"/>
                <w:vertAlign w:val="superscript"/>
              </w:rPr>
              <w:t>(1)(2)</w:t>
            </w:r>
            <w:r w:rsidRPr="0052063C">
              <w:rPr>
                <w:sz w:val="18"/>
                <w:szCs w:val="18"/>
              </w:rPr>
              <w:t xml:space="preserve">  </w:t>
            </w:r>
          </w:p>
          <w:p w14:paraId="6527B0BF" w14:textId="77777777" w:rsidR="009633AC" w:rsidRPr="0052063C" w:rsidRDefault="009633AC" w:rsidP="00E25A87">
            <w:pPr>
              <w:pStyle w:val="TblTxt-Basic"/>
              <w:rPr>
                <w:sz w:val="18"/>
                <w:szCs w:val="18"/>
              </w:rPr>
            </w:pPr>
            <w:r w:rsidRPr="0052063C">
              <w:rPr>
                <w:sz w:val="18"/>
                <w:szCs w:val="18"/>
              </w:rPr>
              <w:t>Nuussuaq, Greenland</w:t>
            </w:r>
          </w:p>
        </w:tc>
        <w:tc>
          <w:tcPr>
            <w:tcW w:w="962" w:type="pct"/>
            <w:tcBorders>
              <w:top w:val="single" w:sz="4" w:space="0" w:color="BFBFBF" w:themeColor="background1" w:themeShade="BF"/>
              <w:bottom w:val="single" w:sz="4" w:space="0" w:color="BFBFBF" w:themeColor="background1" w:themeShade="BF"/>
            </w:tcBorders>
          </w:tcPr>
          <w:p w14:paraId="3EB48600" w14:textId="77777777" w:rsidR="009633AC" w:rsidRPr="0052063C" w:rsidRDefault="009633AC" w:rsidP="00E25A87">
            <w:pPr>
              <w:pStyle w:val="TblTxt-Basic"/>
              <w:jc w:val="center"/>
              <w:rPr>
                <w:sz w:val="18"/>
                <w:szCs w:val="18"/>
              </w:rPr>
            </w:pPr>
            <w:r w:rsidRPr="0052063C">
              <w:rPr>
                <w:sz w:val="18"/>
                <w:szCs w:val="18"/>
              </w:rPr>
              <w:t>Director</w:t>
            </w:r>
          </w:p>
        </w:tc>
        <w:tc>
          <w:tcPr>
            <w:tcW w:w="1911" w:type="pct"/>
            <w:tcBorders>
              <w:top w:val="single" w:sz="4" w:space="0" w:color="BFBFBF" w:themeColor="background1" w:themeShade="BF"/>
              <w:bottom w:val="single" w:sz="4" w:space="0" w:color="BFBFBF" w:themeColor="background1" w:themeShade="BF"/>
            </w:tcBorders>
          </w:tcPr>
          <w:p w14:paraId="2E857615" w14:textId="02FBF7F0" w:rsidR="009633AC" w:rsidRPr="0052063C" w:rsidRDefault="009633AC" w:rsidP="00E25A87">
            <w:pPr>
              <w:pStyle w:val="TblTxt-Basic"/>
              <w:jc w:val="both"/>
              <w:rPr>
                <w:sz w:val="18"/>
                <w:szCs w:val="18"/>
              </w:rPr>
            </w:pPr>
            <w:r>
              <w:rPr>
                <w:sz w:val="18"/>
                <w:szCs w:val="18"/>
                <w:lang w:val="en-GB"/>
              </w:rPr>
              <w:t>M</w:t>
            </w:r>
            <w:r w:rsidRPr="00422100">
              <w:rPr>
                <w:sz w:val="18"/>
                <w:szCs w:val="18"/>
              </w:rPr>
              <w:t>ember of the board at Arctic Umiaq Line A/S</w:t>
            </w:r>
            <w:r>
              <w:rPr>
                <w:sz w:val="18"/>
                <w:szCs w:val="18"/>
              </w:rPr>
              <w:t>.</w:t>
            </w:r>
            <w:r w:rsidRPr="00422100">
              <w:rPr>
                <w:sz w:val="18"/>
                <w:szCs w:val="18"/>
              </w:rPr>
              <w:t xml:space="preserve"> </w:t>
            </w:r>
            <w:r w:rsidRPr="0052063C">
              <w:rPr>
                <w:sz w:val="18"/>
                <w:szCs w:val="18"/>
              </w:rPr>
              <w:t>Until September 2022, CFO of Tuass (Formerly Tele Greenland A/S); Chair of the Board of Directors of NunaGreen A/S from February 9, 2024</w:t>
            </w:r>
          </w:p>
        </w:tc>
        <w:tc>
          <w:tcPr>
            <w:tcW w:w="877" w:type="pct"/>
            <w:tcBorders>
              <w:top w:val="single" w:sz="4" w:space="0" w:color="BFBFBF" w:themeColor="background1" w:themeShade="BF"/>
              <w:bottom w:val="single" w:sz="4" w:space="0" w:color="BFBFBF" w:themeColor="background1" w:themeShade="BF"/>
            </w:tcBorders>
          </w:tcPr>
          <w:p w14:paraId="510FD36D" w14:textId="77777777" w:rsidR="009633AC" w:rsidRPr="0052063C" w:rsidRDefault="009633AC" w:rsidP="00E25A87">
            <w:pPr>
              <w:pStyle w:val="TblTxt-Basic"/>
              <w:jc w:val="center"/>
              <w:rPr>
                <w:sz w:val="18"/>
                <w:szCs w:val="18"/>
              </w:rPr>
            </w:pPr>
            <w:r w:rsidRPr="0052063C">
              <w:rPr>
                <w:sz w:val="18"/>
                <w:szCs w:val="18"/>
              </w:rPr>
              <w:t>June 09, 2021</w:t>
            </w:r>
          </w:p>
        </w:tc>
      </w:tr>
      <w:tr w:rsidR="009633AC" w:rsidRPr="005426D1" w14:paraId="3F77B091" w14:textId="77777777" w:rsidTr="00E25A87">
        <w:tc>
          <w:tcPr>
            <w:tcW w:w="1250" w:type="pct"/>
            <w:tcBorders>
              <w:top w:val="single" w:sz="4" w:space="0" w:color="BFBFBF" w:themeColor="background1" w:themeShade="BF"/>
              <w:bottom w:val="single" w:sz="4" w:space="0" w:color="BFBFBF" w:themeColor="background1" w:themeShade="BF"/>
            </w:tcBorders>
          </w:tcPr>
          <w:p w14:paraId="0D779ABF" w14:textId="77777777" w:rsidR="009633AC" w:rsidRPr="0052063C" w:rsidRDefault="009633AC" w:rsidP="00E25A87">
            <w:pPr>
              <w:pStyle w:val="TblTxt-Basic"/>
              <w:rPr>
                <w:sz w:val="18"/>
                <w:szCs w:val="18"/>
              </w:rPr>
            </w:pPr>
            <w:r w:rsidRPr="0052063C">
              <w:rPr>
                <w:sz w:val="18"/>
                <w:szCs w:val="18"/>
              </w:rPr>
              <w:t>Warwick Morley-Jepson</w:t>
            </w:r>
            <w:r w:rsidRPr="0052063C">
              <w:rPr>
                <w:sz w:val="18"/>
                <w:szCs w:val="18"/>
                <w:vertAlign w:val="superscript"/>
              </w:rPr>
              <w:t>(2)(4)</w:t>
            </w:r>
          </w:p>
          <w:p w14:paraId="407853C6" w14:textId="77777777" w:rsidR="009633AC" w:rsidRPr="0052063C" w:rsidRDefault="009633AC" w:rsidP="00E25A87">
            <w:pPr>
              <w:pStyle w:val="TblTxt-Basic"/>
              <w:rPr>
                <w:sz w:val="18"/>
                <w:szCs w:val="18"/>
              </w:rPr>
            </w:pPr>
            <w:r w:rsidRPr="0052063C">
              <w:rPr>
                <w:sz w:val="18"/>
                <w:szCs w:val="18"/>
              </w:rPr>
              <w:t xml:space="preserve"> Johannesburg, South</w:t>
            </w:r>
          </w:p>
          <w:p w14:paraId="6332AA38" w14:textId="77777777" w:rsidR="009633AC" w:rsidRPr="0052063C" w:rsidRDefault="009633AC" w:rsidP="00E25A87">
            <w:pPr>
              <w:pStyle w:val="TblTxt-Basic"/>
              <w:rPr>
                <w:sz w:val="18"/>
                <w:szCs w:val="18"/>
              </w:rPr>
            </w:pPr>
            <w:r w:rsidRPr="0052063C">
              <w:rPr>
                <w:sz w:val="18"/>
                <w:szCs w:val="18"/>
              </w:rPr>
              <w:t>Africa</w:t>
            </w:r>
          </w:p>
        </w:tc>
        <w:tc>
          <w:tcPr>
            <w:tcW w:w="962" w:type="pct"/>
            <w:tcBorders>
              <w:top w:val="single" w:sz="4" w:space="0" w:color="BFBFBF" w:themeColor="background1" w:themeShade="BF"/>
              <w:bottom w:val="single" w:sz="4" w:space="0" w:color="BFBFBF" w:themeColor="background1" w:themeShade="BF"/>
            </w:tcBorders>
          </w:tcPr>
          <w:p w14:paraId="29B917A3" w14:textId="77777777" w:rsidR="009633AC" w:rsidRPr="0052063C" w:rsidRDefault="009633AC" w:rsidP="00E25A87">
            <w:pPr>
              <w:pStyle w:val="TblTxt-Basic"/>
              <w:jc w:val="center"/>
              <w:rPr>
                <w:sz w:val="18"/>
                <w:szCs w:val="18"/>
              </w:rPr>
            </w:pPr>
            <w:r w:rsidRPr="0052063C">
              <w:rPr>
                <w:sz w:val="18"/>
                <w:szCs w:val="18"/>
              </w:rPr>
              <w:t>Director</w:t>
            </w:r>
          </w:p>
          <w:p w14:paraId="3CCC9445" w14:textId="77777777" w:rsidR="009633AC" w:rsidRPr="0052063C" w:rsidRDefault="009633AC" w:rsidP="00E25A87">
            <w:pPr>
              <w:pStyle w:val="TblTxt-Basic"/>
              <w:jc w:val="center"/>
              <w:rPr>
                <w:sz w:val="18"/>
                <w:szCs w:val="18"/>
              </w:rPr>
            </w:pPr>
          </w:p>
        </w:tc>
        <w:tc>
          <w:tcPr>
            <w:tcW w:w="1911" w:type="pct"/>
            <w:tcBorders>
              <w:top w:val="single" w:sz="4" w:space="0" w:color="BFBFBF" w:themeColor="background1" w:themeShade="BF"/>
              <w:bottom w:val="single" w:sz="4" w:space="0" w:color="BFBFBF" w:themeColor="background1" w:themeShade="BF"/>
            </w:tcBorders>
          </w:tcPr>
          <w:p w14:paraId="0F60DC8F" w14:textId="77777777" w:rsidR="009633AC" w:rsidRPr="0052063C" w:rsidRDefault="009633AC" w:rsidP="00E25A87">
            <w:pPr>
              <w:pStyle w:val="TblTxt-Basic"/>
              <w:jc w:val="both"/>
              <w:rPr>
                <w:sz w:val="18"/>
                <w:szCs w:val="18"/>
              </w:rPr>
            </w:pPr>
            <w:r w:rsidRPr="0052063C">
              <w:rPr>
                <w:sz w:val="18"/>
                <w:szCs w:val="18"/>
              </w:rPr>
              <w:t>Chairman and Interim CEO of Wesdome Gold Mines and director of Karora Resources; Executive VP and COO of Ivanhoe Mines, 2019 to 2020</w:t>
            </w:r>
          </w:p>
        </w:tc>
        <w:tc>
          <w:tcPr>
            <w:tcW w:w="877" w:type="pct"/>
            <w:tcBorders>
              <w:top w:val="single" w:sz="4" w:space="0" w:color="BFBFBF" w:themeColor="background1" w:themeShade="BF"/>
              <w:bottom w:val="single" w:sz="4" w:space="0" w:color="BFBFBF" w:themeColor="background1" w:themeShade="BF"/>
            </w:tcBorders>
          </w:tcPr>
          <w:p w14:paraId="11FA03FD" w14:textId="77777777" w:rsidR="009633AC" w:rsidRPr="0052063C" w:rsidRDefault="009633AC" w:rsidP="00E25A87">
            <w:pPr>
              <w:pStyle w:val="TblTxt-Basic"/>
              <w:jc w:val="center"/>
              <w:rPr>
                <w:sz w:val="18"/>
                <w:szCs w:val="18"/>
              </w:rPr>
            </w:pPr>
            <w:r w:rsidRPr="0052063C">
              <w:rPr>
                <w:sz w:val="18"/>
                <w:szCs w:val="18"/>
              </w:rPr>
              <w:t>August 26, 2021</w:t>
            </w:r>
          </w:p>
        </w:tc>
      </w:tr>
      <w:tr w:rsidR="009633AC" w:rsidRPr="005426D1" w14:paraId="3DF96E71" w14:textId="77777777" w:rsidTr="00E25A87">
        <w:tc>
          <w:tcPr>
            <w:tcW w:w="1250" w:type="pct"/>
            <w:tcBorders>
              <w:top w:val="single" w:sz="4" w:space="0" w:color="BFBFBF" w:themeColor="background1" w:themeShade="BF"/>
              <w:bottom w:val="single" w:sz="4" w:space="0" w:color="BFBFBF" w:themeColor="background1" w:themeShade="BF"/>
            </w:tcBorders>
          </w:tcPr>
          <w:p w14:paraId="6DBD723B" w14:textId="77777777" w:rsidR="009633AC" w:rsidRPr="0052063C" w:rsidRDefault="009633AC" w:rsidP="00E25A87">
            <w:pPr>
              <w:pStyle w:val="TblTxt-Basic"/>
              <w:rPr>
                <w:sz w:val="18"/>
                <w:szCs w:val="18"/>
              </w:rPr>
            </w:pPr>
            <w:r w:rsidRPr="0052063C">
              <w:rPr>
                <w:sz w:val="18"/>
                <w:szCs w:val="18"/>
              </w:rPr>
              <w:t>Joan Plant</w:t>
            </w:r>
          </w:p>
          <w:p w14:paraId="17D42D2F" w14:textId="77777777" w:rsidR="009633AC" w:rsidRPr="0052063C" w:rsidRDefault="009633AC" w:rsidP="00E25A87">
            <w:pPr>
              <w:pStyle w:val="TblTxt-Basic"/>
              <w:rPr>
                <w:sz w:val="18"/>
                <w:szCs w:val="18"/>
              </w:rPr>
            </w:pPr>
            <w:r w:rsidRPr="00A1041B">
              <w:rPr>
                <w:sz w:val="18"/>
                <w:szCs w:val="18"/>
              </w:rPr>
              <w:t>Shardlow</w:t>
            </w:r>
            <w:r w:rsidRPr="0052063C">
              <w:rPr>
                <w:sz w:val="18"/>
                <w:szCs w:val="18"/>
              </w:rPr>
              <w:t>, United Kingdom</w:t>
            </w:r>
          </w:p>
        </w:tc>
        <w:tc>
          <w:tcPr>
            <w:tcW w:w="962" w:type="pct"/>
            <w:tcBorders>
              <w:top w:val="single" w:sz="4" w:space="0" w:color="BFBFBF" w:themeColor="background1" w:themeShade="BF"/>
              <w:bottom w:val="single" w:sz="4" w:space="0" w:color="BFBFBF" w:themeColor="background1" w:themeShade="BF"/>
            </w:tcBorders>
          </w:tcPr>
          <w:p w14:paraId="41D61F58" w14:textId="77777777" w:rsidR="009633AC" w:rsidRPr="0052063C" w:rsidRDefault="009633AC" w:rsidP="00E25A87">
            <w:pPr>
              <w:pStyle w:val="TblTxt-Basic"/>
              <w:jc w:val="center"/>
              <w:rPr>
                <w:sz w:val="18"/>
                <w:szCs w:val="18"/>
              </w:rPr>
            </w:pPr>
            <w:r w:rsidRPr="0052063C">
              <w:rPr>
                <w:sz w:val="18"/>
                <w:szCs w:val="18"/>
              </w:rPr>
              <w:t>Executive Vice President</w:t>
            </w:r>
          </w:p>
        </w:tc>
        <w:tc>
          <w:tcPr>
            <w:tcW w:w="1911" w:type="pct"/>
            <w:tcBorders>
              <w:top w:val="single" w:sz="4" w:space="0" w:color="BFBFBF" w:themeColor="background1" w:themeShade="BF"/>
              <w:bottom w:val="single" w:sz="4" w:space="0" w:color="BFBFBF" w:themeColor="background1" w:themeShade="BF"/>
            </w:tcBorders>
          </w:tcPr>
          <w:p w14:paraId="4E7D4072" w14:textId="77777777" w:rsidR="009633AC" w:rsidRPr="0052063C" w:rsidRDefault="009633AC" w:rsidP="00E25A87">
            <w:pPr>
              <w:pStyle w:val="TblTxt-Basic"/>
              <w:jc w:val="both"/>
              <w:rPr>
                <w:sz w:val="18"/>
                <w:szCs w:val="18"/>
              </w:rPr>
            </w:pPr>
            <w:r w:rsidRPr="0052063C">
              <w:rPr>
                <w:sz w:val="18"/>
                <w:szCs w:val="18"/>
              </w:rPr>
              <w:t>Corporate Secretary of Amaroq Minerals Ltd. from April 2017 to October 2023</w:t>
            </w:r>
          </w:p>
        </w:tc>
        <w:tc>
          <w:tcPr>
            <w:tcW w:w="877" w:type="pct"/>
            <w:tcBorders>
              <w:top w:val="single" w:sz="4" w:space="0" w:color="BFBFBF" w:themeColor="background1" w:themeShade="BF"/>
              <w:bottom w:val="single" w:sz="4" w:space="0" w:color="BFBFBF" w:themeColor="background1" w:themeShade="BF"/>
            </w:tcBorders>
          </w:tcPr>
          <w:p w14:paraId="361E2836" w14:textId="77777777" w:rsidR="009633AC" w:rsidRPr="0052063C" w:rsidRDefault="009633AC" w:rsidP="00E25A87">
            <w:pPr>
              <w:pStyle w:val="TblTxt-Basic"/>
              <w:jc w:val="center"/>
              <w:rPr>
                <w:sz w:val="18"/>
                <w:szCs w:val="18"/>
              </w:rPr>
            </w:pPr>
            <w:r w:rsidRPr="0052063C">
              <w:rPr>
                <w:sz w:val="18"/>
                <w:szCs w:val="18"/>
              </w:rPr>
              <w:t>February 22 2017</w:t>
            </w:r>
          </w:p>
        </w:tc>
      </w:tr>
      <w:tr w:rsidR="009633AC" w:rsidRPr="005426D1" w14:paraId="4961F34F" w14:textId="77777777" w:rsidTr="00E25A87">
        <w:tc>
          <w:tcPr>
            <w:tcW w:w="1250" w:type="pct"/>
            <w:tcBorders>
              <w:top w:val="single" w:sz="4" w:space="0" w:color="BFBFBF" w:themeColor="background1" w:themeShade="BF"/>
              <w:bottom w:val="single" w:sz="4" w:space="0" w:color="BFBFBF" w:themeColor="background1" w:themeShade="BF"/>
            </w:tcBorders>
          </w:tcPr>
          <w:p w14:paraId="250EC230" w14:textId="77777777" w:rsidR="009633AC" w:rsidRPr="0052063C" w:rsidRDefault="009633AC" w:rsidP="00E25A87">
            <w:pPr>
              <w:pStyle w:val="TblTxt-Basic"/>
              <w:rPr>
                <w:sz w:val="18"/>
                <w:szCs w:val="18"/>
              </w:rPr>
            </w:pPr>
            <w:r w:rsidRPr="0052063C">
              <w:rPr>
                <w:sz w:val="18"/>
                <w:szCs w:val="18"/>
              </w:rPr>
              <w:t>James Gilbertson</w:t>
            </w:r>
          </w:p>
          <w:p w14:paraId="423C7CCF" w14:textId="77777777" w:rsidR="009633AC" w:rsidRPr="0052063C" w:rsidRDefault="009633AC" w:rsidP="00E25A87">
            <w:pPr>
              <w:pStyle w:val="TblTxt-Basic"/>
              <w:rPr>
                <w:sz w:val="18"/>
                <w:szCs w:val="18"/>
              </w:rPr>
            </w:pPr>
            <w:r w:rsidRPr="003B492E">
              <w:rPr>
                <w:sz w:val="18"/>
                <w:szCs w:val="18"/>
              </w:rPr>
              <w:t>Abergavenny</w:t>
            </w:r>
            <w:r>
              <w:rPr>
                <w:sz w:val="18"/>
                <w:szCs w:val="18"/>
              </w:rPr>
              <w:t xml:space="preserve">, </w:t>
            </w:r>
            <w:r w:rsidRPr="0052063C">
              <w:rPr>
                <w:sz w:val="18"/>
                <w:szCs w:val="18"/>
              </w:rPr>
              <w:t>United Kingdom</w:t>
            </w:r>
          </w:p>
        </w:tc>
        <w:tc>
          <w:tcPr>
            <w:tcW w:w="962" w:type="pct"/>
            <w:tcBorders>
              <w:top w:val="single" w:sz="4" w:space="0" w:color="BFBFBF" w:themeColor="background1" w:themeShade="BF"/>
              <w:bottom w:val="single" w:sz="4" w:space="0" w:color="BFBFBF" w:themeColor="background1" w:themeShade="BF"/>
            </w:tcBorders>
          </w:tcPr>
          <w:p w14:paraId="258CF515" w14:textId="77777777" w:rsidR="009633AC" w:rsidRPr="0052063C" w:rsidRDefault="009633AC" w:rsidP="00E25A87">
            <w:pPr>
              <w:pStyle w:val="TblTxt-Basic"/>
              <w:jc w:val="center"/>
              <w:rPr>
                <w:sz w:val="18"/>
                <w:szCs w:val="18"/>
              </w:rPr>
            </w:pPr>
            <w:r w:rsidRPr="0052063C">
              <w:rPr>
                <w:sz w:val="18"/>
                <w:szCs w:val="18"/>
              </w:rPr>
              <w:t>VP Exploration</w:t>
            </w:r>
          </w:p>
          <w:p w14:paraId="2BA2DEFA" w14:textId="77777777" w:rsidR="009633AC" w:rsidRPr="0052063C" w:rsidRDefault="009633AC" w:rsidP="00E25A87">
            <w:pPr>
              <w:pStyle w:val="TblTxt-Basic"/>
              <w:jc w:val="center"/>
              <w:rPr>
                <w:sz w:val="18"/>
                <w:szCs w:val="18"/>
              </w:rPr>
            </w:pPr>
          </w:p>
        </w:tc>
        <w:tc>
          <w:tcPr>
            <w:tcW w:w="1911" w:type="pct"/>
            <w:tcBorders>
              <w:top w:val="single" w:sz="4" w:space="0" w:color="BFBFBF" w:themeColor="background1" w:themeShade="BF"/>
              <w:bottom w:val="single" w:sz="4" w:space="0" w:color="BFBFBF" w:themeColor="background1" w:themeShade="BF"/>
            </w:tcBorders>
          </w:tcPr>
          <w:p w14:paraId="2250E714" w14:textId="2C058EC4" w:rsidR="009633AC" w:rsidRPr="00DF2B43" w:rsidRDefault="007E2FD3" w:rsidP="00E25A87">
            <w:pPr>
              <w:pStyle w:val="TblTxt-Basic"/>
              <w:jc w:val="both"/>
              <w:rPr>
                <w:sz w:val="18"/>
                <w:szCs w:val="18"/>
                <w:lang w:val="en-GB"/>
              </w:rPr>
            </w:pPr>
            <w:r w:rsidRPr="00DF2B43">
              <w:rPr>
                <w:sz w:val="18"/>
                <w:szCs w:val="18"/>
              </w:rPr>
              <w:t xml:space="preserve">Principal Exploration Geologist and Managing Director </w:t>
            </w:r>
            <w:r>
              <w:rPr>
                <w:sz w:val="18"/>
                <w:szCs w:val="18"/>
              </w:rPr>
              <w:t xml:space="preserve">of </w:t>
            </w:r>
            <w:r w:rsidR="009633AC" w:rsidRPr="00DF2B43">
              <w:rPr>
                <w:sz w:val="18"/>
                <w:szCs w:val="18"/>
              </w:rPr>
              <w:t>SRK Exploration Services Limited</w:t>
            </w:r>
            <w:r>
              <w:rPr>
                <w:sz w:val="18"/>
                <w:szCs w:val="18"/>
              </w:rPr>
              <w:t xml:space="preserve"> from</w:t>
            </w:r>
            <w:r w:rsidR="009633AC">
              <w:rPr>
                <w:sz w:val="18"/>
                <w:szCs w:val="18"/>
              </w:rPr>
              <w:t xml:space="preserve"> </w:t>
            </w:r>
            <w:r w:rsidR="009633AC" w:rsidRPr="00DF2B43">
              <w:rPr>
                <w:sz w:val="18"/>
                <w:szCs w:val="18"/>
              </w:rPr>
              <w:t xml:space="preserve">June 2017 to September 1, 2021  </w:t>
            </w:r>
          </w:p>
        </w:tc>
        <w:tc>
          <w:tcPr>
            <w:tcW w:w="877" w:type="pct"/>
            <w:tcBorders>
              <w:top w:val="single" w:sz="4" w:space="0" w:color="BFBFBF" w:themeColor="background1" w:themeShade="BF"/>
              <w:bottom w:val="single" w:sz="4" w:space="0" w:color="BFBFBF" w:themeColor="background1" w:themeShade="BF"/>
            </w:tcBorders>
          </w:tcPr>
          <w:p w14:paraId="14BD9DF8" w14:textId="77777777" w:rsidR="009633AC" w:rsidRPr="0052063C" w:rsidRDefault="009633AC" w:rsidP="00E25A87">
            <w:pPr>
              <w:pStyle w:val="TblTxt-Basic"/>
              <w:jc w:val="center"/>
              <w:rPr>
                <w:sz w:val="18"/>
                <w:szCs w:val="18"/>
                <w:highlight w:val="yellow"/>
                <w:lang w:val="en-GB"/>
              </w:rPr>
            </w:pPr>
            <w:r>
              <w:rPr>
                <w:sz w:val="18"/>
                <w:szCs w:val="18"/>
                <w:lang w:val="en-GB"/>
              </w:rPr>
              <w:t>September 1</w:t>
            </w:r>
            <w:r w:rsidRPr="0052063C">
              <w:rPr>
                <w:sz w:val="18"/>
                <w:szCs w:val="18"/>
                <w:lang w:val="en-GB"/>
              </w:rPr>
              <w:t>, 2021</w:t>
            </w:r>
          </w:p>
        </w:tc>
      </w:tr>
      <w:tr w:rsidR="009633AC" w:rsidRPr="005426D1" w14:paraId="3F5AC6C3" w14:textId="77777777" w:rsidTr="00E25A87">
        <w:tc>
          <w:tcPr>
            <w:tcW w:w="1250" w:type="pct"/>
            <w:tcBorders>
              <w:top w:val="single" w:sz="4" w:space="0" w:color="BFBFBF" w:themeColor="background1" w:themeShade="BF"/>
            </w:tcBorders>
          </w:tcPr>
          <w:p w14:paraId="4DBFEABA" w14:textId="77777777" w:rsidR="009633AC" w:rsidRPr="0052063C" w:rsidRDefault="009633AC" w:rsidP="00E25A87">
            <w:pPr>
              <w:pStyle w:val="TblTxt-Basic"/>
              <w:rPr>
                <w:sz w:val="18"/>
                <w:szCs w:val="18"/>
              </w:rPr>
            </w:pPr>
            <w:r w:rsidRPr="0052063C">
              <w:rPr>
                <w:sz w:val="18"/>
                <w:szCs w:val="18"/>
              </w:rPr>
              <w:t>Anna Solotova</w:t>
            </w:r>
          </w:p>
          <w:p w14:paraId="569CB0EB" w14:textId="77777777" w:rsidR="009633AC" w:rsidRPr="0052063C" w:rsidRDefault="009633AC" w:rsidP="00E25A87">
            <w:pPr>
              <w:pStyle w:val="TblTxt-Basic"/>
              <w:rPr>
                <w:sz w:val="18"/>
                <w:szCs w:val="18"/>
              </w:rPr>
            </w:pPr>
            <w:r w:rsidRPr="0052063C">
              <w:rPr>
                <w:sz w:val="18"/>
                <w:szCs w:val="18"/>
              </w:rPr>
              <w:t>Reykjavik, Iceland</w:t>
            </w:r>
          </w:p>
        </w:tc>
        <w:tc>
          <w:tcPr>
            <w:tcW w:w="962" w:type="pct"/>
            <w:tcBorders>
              <w:top w:val="single" w:sz="4" w:space="0" w:color="BFBFBF" w:themeColor="background1" w:themeShade="BF"/>
            </w:tcBorders>
          </w:tcPr>
          <w:p w14:paraId="543C0EEC" w14:textId="77777777" w:rsidR="009633AC" w:rsidRPr="0052063C" w:rsidRDefault="009633AC" w:rsidP="00E25A87">
            <w:pPr>
              <w:pStyle w:val="TblTxt-Basic"/>
              <w:jc w:val="center"/>
              <w:rPr>
                <w:sz w:val="18"/>
                <w:szCs w:val="18"/>
              </w:rPr>
            </w:pPr>
            <w:r w:rsidRPr="0052063C">
              <w:rPr>
                <w:sz w:val="18"/>
                <w:szCs w:val="18"/>
              </w:rPr>
              <w:t>VP Corporate Legal, Corporate Secretary</w:t>
            </w:r>
          </w:p>
        </w:tc>
        <w:tc>
          <w:tcPr>
            <w:tcW w:w="1911" w:type="pct"/>
            <w:tcBorders>
              <w:top w:val="single" w:sz="4" w:space="0" w:color="BFBFBF" w:themeColor="background1" w:themeShade="BF"/>
            </w:tcBorders>
          </w:tcPr>
          <w:p w14:paraId="1F154EA0" w14:textId="77777777" w:rsidR="009633AC" w:rsidRPr="0052063C" w:rsidRDefault="009633AC" w:rsidP="00E25A87">
            <w:pPr>
              <w:pStyle w:val="TblTxt-Basic"/>
              <w:jc w:val="both"/>
              <w:rPr>
                <w:sz w:val="18"/>
                <w:szCs w:val="18"/>
              </w:rPr>
            </w:pPr>
            <w:r w:rsidRPr="0052063C">
              <w:rPr>
                <w:sz w:val="18"/>
                <w:szCs w:val="18"/>
              </w:rPr>
              <w:t>Corporate Secretary of Amaroq since October 2023; Former Corporate Secretary and head of corporate governance team for Polyus Group</w:t>
            </w:r>
          </w:p>
        </w:tc>
        <w:tc>
          <w:tcPr>
            <w:tcW w:w="877" w:type="pct"/>
            <w:tcBorders>
              <w:top w:val="single" w:sz="4" w:space="0" w:color="BFBFBF" w:themeColor="background1" w:themeShade="BF"/>
            </w:tcBorders>
            <w:shd w:val="clear" w:color="auto" w:fill="auto"/>
          </w:tcPr>
          <w:p w14:paraId="0F761044" w14:textId="77777777" w:rsidR="009633AC" w:rsidRPr="0052063C" w:rsidRDefault="009633AC" w:rsidP="00E25A87">
            <w:pPr>
              <w:pStyle w:val="TblTxt-Basic"/>
              <w:jc w:val="center"/>
              <w:rPr>
                <w:sz w:val="18"/>
                <w:szCs w:val="18"/>
                <w:lang w:val="en-GB"/>
              </w:rPr>
            </w:pPr>
            <w:r w:rsidRPr="0052063C">
              <w:rPr>
                <w:sz w:val="18"/>
                <w:szCs w:val="18"/>
                <w:lang w:val="en-GB"/>
              </w:rPr>
              <w:t>January 2022</w:t>
            </w:r>
          </w:p>
        </w:tc>
      </w:tr>
    </w:tbl>
    <w:p w14:paraId="1887FA50" w14:textId="77777777" w:rsidR="009633AC" w:rsidRPr="00A52F2C" w:rsidRDefault="009633AC" w:rsidP="009633AC">
      <w:pPr>
        <w:pStyle w:val="TblTxt-Notes-TitleTxt-LB"/>
        <w:rPr>
          <w:rFonts w:eastAsiaTheme="minorHAnsi"/>
        </w:rPr>
      </w:pPr>
      <w:r w:rsidRPr="00A52F2C">
        <w:rPr>
          <w:rFonts w:eastAsiaTheme="minorHAnsi"/>
        </w:rPr>
        <w:t>Notes:</w:t>
      </w:r>
    </w:p>
    <w:p w14:paraId="339A8FE0" w14:textId="77777777" w:rsidR="009633AC" w:rsidRPr="005A63F0" w:rsidRDefault="009633AC" w:rsidP="009633AC">
      <w:pPr>
        <w:pStyle w:val="TblTxt-Notes-NumberedTxt"/>
      </w:pPr>
      <w:r>
        <w:t>(1)</w:t>
      </w:r>
      <w:r>
        <w:tab/>
      </w:r>
      <w:r w:rsidRPr="005A63F0">
        <w:t>Member of the Audit and Risk Management Committee.</w:t>
      </w:r>
    </w:p>
    <w:p w14:paraId="4B8E62C9" w14:textId="77777777" w:rsidR="009633AC" w:rsidRPr="00A52F2C" w:rsidRDefault="009633AC" w:rsidP="009633AC">
      <w:pPr>
        <w:pStyle w:val="TblTxt-Notes-NumberedTxt"/>
      </w:pPr>
      <w:r>
        <w:t>(2)</w:t>
      </w:r>
      <w:r>
        <w:tab/>
      </w:r>
      <w:r w:rsidRPr="00A52F2C">
        <w:t>Member of the Technical, Safety and Sustainability Committee.</w:t>
      </w:r>
    </w:p>
    <w:p w14:paraId="30708DC4" w14:textId="77777777" w:rsidR="009633AC" w:rsidRPr="00A52F2C" w:rsidRDefault="009633AC" w:rsidP="009633AC">
      <w:pPr>
        <w:pStyle w:val="TblTxt-Notes-NumberedTxt"/>
      </w:pPr>
      <w:r>
        <w:t>(3)</w:t>
      </w:r>
      <w:r>
        <w:tab/>
      </w:r>
      <w:r w:rsidRPr="00A52F2C">
        <w:t>Member of the Corporate Governance and Nomination Committee.</w:t>
      </w:r>
    </w:p>
    <w:p w14:paraId="68FB5C63" w14:textId="77777777" w:rsidR="009633AC" w:rsidRPr="00A52F2C" w:rsidRDefault="009633AC" w:rsidP="009633AC">
      <w:pPr>
        <w:pStyle w:val="TblTxt-Notes-NumberedTxt"/>
      </w:pPr>
      <w:r>
        <w:t>(4)</w:t>
      </w:r>
      <w:r>
        <w:tab/>
      </w:r>
      <w:r w:rsidRPr="00A52F2C">
        <w:t>Member of the Compensation Committee</w:t>
      </w:r>
    </w:p>
    <w:p w14:paraId="0E14270C" w14:textId="77777777" w:rsidR="009633AC" w:rsidRPr="00A52F2C" w:rsidRDefault="009633AC" w:rsidP="009633AC">
      <w:pPr>
        <w:pStyle w:val="TblTxt-Notes-NumberedTxt"/>
      </w:pPr>
      <w:r>
        <w:t>(5)</w:t>
      </w:r>
      <w:r>
        <w:tab/>
      </w:r>
      <w:r w:rsidRPr="00A52F2C">
        <w:t>Member of the Disclosure Committee</w:t>
      </w:r>
    </w:p>
    <w:p w14:paraId="362AAC1C" w14:textId="23086FDE" w:rsidR="009633AC" w:rsidRDefault="009633AC" w:rsidP="009633AC">
      <w:pPr>
        <w:pStyle w:val="ProspectusCont2"/>
      </w:pPr>
      <w:r w:rsidRPr="00F1482F">
        <w:t>Based on the disclosure available on the System for Electronic Disclosure by insiders, as of March</w:t>
      </w:r>
      <w:r>
        <w:t xml:space="preserve"> 26</w:t>
      </w:r>
      <w:r w:rsidRPr="00F1482F">
        <w:t xml:space="preserve">, 2024, the directors and executive officers of the Corporation (as listed in this AIF), as a group, beneficially owned, or controlled </w:t>
      </w:r>
      <w:r w:rsidRPr="00F1482F">
        <w:lastRenderedPageBreak/>
        <w:t xml:space="preserve">or directed, directly or indirectly, a total of </w:t>
      </w:r>
      <w:r w:rsidRPr="00E251B0">
        <w:t>37,0</w:t>
      </w:r>
      <w:r w:rsidR="00510B38">
        <w:t>96</w:t>
      </w:r>
      <w:r w:rsidRPr="00E251B0">
        <w:t>,263</w:t>
      </w:r>
      <w:r w:rsidRPr="00F1482F">
        <w:t xml:space="preserve"> Common Shares, representing approximately</w:t>
      </w:r>
      <w:r>
        <w:t xml:space="preserve"> 11</w:t>
      </w:r>
      <w:r w:rsidR="00093DDE">
        <w:t>.</w:t>
      </w:r>
      <w:r>
        <w:t>36</w:t>
      </w:r>
      <w:r w:rsidRPr="00F1482F">
        <w:t xml:space="preserve"> % of the total number of Common Shares outstanding.</w:t>
      </w:r>
    </w:p>
    <w:p w14:paraId="1E198338" w14:textId="77777777" w:rsidR="009633AC" w:rsidRPr="005C6077" w:rsidRDefault="009633AC" w:rsidP="009633AC">
      <w:pPr>
        <w:pStyle w:val="ProspectusCont2"/>
        <w:rPr>
          <w:lang w:val="en-US"/>
        </w:rPr>
      </w:pPr>
      <w:r w:rsidRPr="005C6077">
        <w:rPr>
          <w:lang w:val="en-US"/>
        </w:rPr>
        <w:t>Set forth below is a brief description of the background of the directors and executive officers of the Corporation, including a description of each individual's principal occupation(s) within the past five years.</w:t>
      </w:r>
    </w:p>
    <w:p w14:paraId="53CBB50A" w14:textId="77777777" w:rsidR="009633AC" w:rsidRPr="00865821" w:rsidRDefault="009633AC" w:rsidP="009633AC">
      <w:pPr>
        <w:pStyle w:val="ProspectusL3"/>
        <w:rPr>
          <w:bCs/>
          <w:spacing w:val="-2"/>
        </w:rPr>
      </w:pPr>
      <w:r w:rsidRPr="00865821">
        <w:rPr>
          <w:spacing w:val="-1"/>
        </w:rPr>
        <w:t>Eldur</w:t>
      </w:r>
      <w:r w:rsidRPr="00865821">
        <w:t xml:space="preserve"> </w:t>
      </w:r>
      <w:r w:rsidRPr="00865821">
        <w:rPr>
          <w:spacing w:val="-2"/>
        </w:rPr>
        <w:t>Ólafsson –</w:t>
      </w:r>
      <w:r>
        <w:t xml:space="preserve"> </w:t>
      </w:r>
      <w:r w:rsidRPr="00865821">
        <w:t>Director and CEO</w:t>
      </w:r>
    </w:p>
    <w:p w14:paraId="48ED153A" w14:textId="5E00CF76" w:rsidR="009633AC" w:rsidRDefault="009633AC" w:rsidP="009633AC">
      <w:pPr>
        <w:pStyle w:val="ProspectusCont3"/>
      </w:pPr>
      <w:r w:rsidRPr="003A6F8C">
        <w:t xml:space="preserve">Eldur Olafsson founded Amaroq Minerals Ltd. (AEX Gold Inc.) in 2017, having previously worked for several years on integrated mining projects in Greenland. He has had an extensive career in the geothermal and mining industries, during which he built </w:t>
      </w:r>
      <w:r w:rsidR="007E2FD3">
        <w:t>a</w:t>
      </w:r>
      <w:r w:rsidRPr="002B385B">
        <w:t xml:space="preserve"> </w:t>
      </w:r>
      <w:r w:rsidRPr="002B385B">
        <w:rPr>
          <w:lang w:val="en-GB"/>
        </w:rPr>
        <w:t xml:space="preserve">substantial </w:t>
      </w:r>
      <w:r w:rsidRPr="002B385B">
        <w:t>geothermal district heating company in the world alongside Sinopac Group. Eldur has</w:t>
      </w:r>
      <w:r w:rsidRPr="003A6F8C">
        <w:t xml:space="preserve"> a successful track record of leading companies from exploration to production, as shown by his time at Orka Energy, where Eldur was responsible for securing the acquisition, and subsequent development, of the company</w:t>
      </w:r>
      <w:r>
        <w:t>'</w:t>
      </w:r>
      <w:r w:rsidRPr="003A6F8C">
        <w:t>s geothermal energy in both China and the Philippines. Prior to this, he worked with Geysir Green Energy</w:t>
      </w:r>
      <w:r>
        <w:t xml:space="preserve"> ("</w:t>
      </w:r>
      <w:r>
        <w:rPr>
          <w:b/>
          <w:bCs/>
        </w:rPr>
        <w:t>Geysir</w:t>
      </w:r>
      <w:r>
        <w:t>")</w:t>
      </w:r>
      <w:r w:rsidRPr="003A6F8C">
        <w:t>, a geothermal investment company, where he led their business development</w:t>
      </w:r>
      <w:r>
        <w:t xml:space="preserve"> team</w:t>
      </w:r>
      <w:r w:rsidRPr="003A6F8C">
        <w:t xml:space="preserve">. He later became the Technical Director of </w:t>
      </w:r>
      <w:r>
        <w:t xml:space="preserve">the </w:t>
      </w:r>
      <w:r w:rsidRPr="003A6F8C">
        <w:t xml:space="preserve">energy company Enex, a 100% owned subsidiary of Geysir, where he grew the </w:t>
      </w:r>
      <w:r>
        <w:t>Corporation</w:t>
      </w:r>
      <w:r w:rsidRPr="003A6F8C">
        <w:t xml:space="preserve"> from its inception to a position where it was operating in three Chinese provinces. Eldur holds a BSc Geology degree from the University of Iceland.</w:t>
      </w:r>
    </w:p>
    <w:p w14:paraId="4A542EAE" w14:textId="77777777" w:rsidR="009633AC" w:rsidRPr="00673F54" w:rsidRDefault="009633AC" w:rsidP="009633AC">
      <w:pPr>
        <w:pStyle w:val="ProspectusL3"/>
      </w:pPr>
      <w:r w:rsidRPr="00673F54">
        <w:t>Graham Duncan Stewart</w:t>
      </w:r>
      <w:r w:rsidRPr="00673F54">
        <w:rPr>
          <w:spacing w:val="-2"/>
        </w:rPr>
        <w:t xml:space="preserve"> – </w:t>
      </w:r>
      <w:r w:rsidRPr="00673F54">
        <w:t xml:space="preserve">Chairman and Director </w:t>
      </w:r>
    </w:p>
    <w:p w14:paraId="1A8FB689" w14:textId="77777777" w:rsidR="009633AC" w:rsidRPr="00C62E2E" w:rsidRDefault="009633AC" w:rsidP="009633AC">
      <w:pPr>
        <w:pStyle w:val="ProspectusCont3"/>
        <w:rPr>
          <w:rFonts w:eastAsia="Arial"/>
        </w:rPr>
      </w:pPr>
      <w:r w:rsidRPr="00C62E2E">
        <w:rPr>
          <w:rFonts w:eastAsia="Arial"/>
        </w:rPr>
        <w:t xml:space="preserve">Graham Stewart has worked in the international oil </w:t>
      </w:r>
      <w:r>
        <w:rPr>
          <w:rFonts w:eastAsia="Arial"/>
        </w:rPr>
        <w:t>and</w:t>
      </w:r>
      <w:r w:rsidRPr="00C62E2E">
        <w:rPr>
          <w:rFonts w:eastAsia="Arial"/>
        </w:rPr>
        <w:t xml:space="preserve"> gas industry for 30 years. Throughout his career, Graham has created a reputation for generating significant shareholder value for the companies he acts for. He founded Faroe Petroleum</w:t>
      </w:r>
      <w:r>
        <w:rPr>
          <w:rFonts w:eastAsia="Arial"/>
        </w:rPr>
        <w:t xml:space="preserve"> plc ("</w:t>
      </w:r>
      <w:r w:rsidRPr="00030A96">
        <w:rPr>
          <w:rFonts w:eastAsia="Arial"/>
          <w:b/>
          <w:bCs/>
        </w:rPr>
        <w:t>Faroe</w:t>
      </w:r>
      <w:r>
        <w:rPr>
          <w:rFonts w:eastAsia="Arial"/>
        </w:rPr>
        <w:t>")</w:t>
      </w:r>
      <w:r w:rsidRPr="00C62E2E">
        <w:rPr>
          <w:rFonts w:eastAsia="Arial"/>
        </w:rPr>
        <w:t xml:space="preserve">, which he became the CEO of in 2002 and </w:t>
      </w:r>
      <w:r>
        <w:rPr>
          <w:rFonts w:eastAsia="Arial"/>
        </w:rPr>
        <w:t xml:space="preserve">which was </w:t>
      </w:r>
      <w:r w:rsidRPr="00C62E2E">
        <w:rPr>
          <w:rFonts w:eastAsia="Arial"/>
        </w:rPr>
        <w:t>listed on AIM in 2003. He proceeded to grow Faroe into a highly successful independent full-cycle exploration and production company with portfolios in the UK and Norway. The company was sold in January 2019 for US</w:t>
      </w:r>
      <w:r>
        <w:rPr>
          <w:rFonts w:eastAsia="Arial"/>
        </w:rPr>
        <w:t>$</w:t>
      </w:r>
      <w:r w:rsidRPr="00C62E2E">
        <w:rPr>
          <w:rFonts w:eastAsia="Arial"/>
        </w:rPr>
        <w:t>800 million to DNO. Graham has engineering and business degrees from Heriot Watt and Edinburgh University and is currently also chairman of Longboat Energy plc.</w:t>
      </w:r>
    </w:p>
    <w:p w14:paraId="165A59C6" w14:textId="77777777" w:rsidR="009633AC" w:rsidRPr="00673F54" w:rsidRDefault="009633AC" w:rsidP="009633AC">
      <w:pPr>
        <w:pStyle w:val="ProspectusL3"/>
      </w:pPr>
      <w:r w:rsidRPr="00673F54">
        <w:t>Sigurbjorn Thorkelsson</w:t>
      </w:r>
      <w:r w:rsidRPr="00673F54">
        <w:rPr>
          <w:spacing w:val="-2"/>
        </w:rPr>
        <w:t xml:space="preserve"> –</w:t>
      </w:r>
      <w:r>
        <w:rPr>
          <w:spacing w:val="-2"/>
        </w:rPr>
        <w:t xml:space="preserve"> </w:t>
      </w:r>
      <w:r w:rsidRPr="00673F54">
        <w:t xml:space="preserve">Director </w:t>
      </w:r>
    </w:p>
    <w:p w14:paraId="2332B6A8" w14:textId="77777777" w:rsidR="009633AC" w:rsidRPr="00150250" w:rsidRDefault="009633AC" w:rsidP="009633AC">
      <w:pPr>
        <w:pStyle w:val="ProspectusCont3"/>
      </w:pPr>
      <w:r w:rsidRPr="00D5311B">
        <w:t>Siggi has over 25 years</w:t>
      </w:r>
      <w:r>
        <w:t xml:space="preserve"> of</w:t>
      </w:r>
      <w:r w:rsidRPr="00D5311B">
        <w:t xml:space="preserve"> experience in the banking and securities industry across New York, London, Tokyo, Hong Kong and his native Iceland. Mr. Thorkelsson previously served as Managing Director at Nomura International (Hong Kong) Limited and as Head of Asia-Pacific Equities before becoming Senior Managing Director of the Nomura Group. In 2010, Mr. Thorkelsson moved to Barclays Capital (Hong Kong) as Managing Director and Head of Asia-Pacific Equities before becoming Managing Director (Head of Equities EMEA) at Barclays Capital in London in 2011. More recently, Mr. Thorkelsson has co-founded investment and securities companies in Iceland and in the UK.</w:t>
      </w:r>
    </w:p>
    <w:p w14:paraId="6B960792" w14:textId="77777777" w:rsidR="009633AC" w:rsidRPr="00901CA8" w:rsidRDefault="009633AC" w:rsidP="009633AC">
      <w:pPr>
        <w:pStyle w:val="ProspectusL3"/>
        <w:rPr>
          <w:lang w:eastAsia="en-GB"/>
        </w:rPr>
      </w:pPr>
      <w:r w:rsidRPr="00901CA8">
        <w:t>Jaco</w:t>
      </w:r>
      <w:r w:rsidRPr="00673F54">
        <w:t xml:space="preserve"> Crouse</w:t>
      </w:r>
      <w:r>
        <w:t xml:space="preserve"> </w:t>
      </w:r>
      <w:r w:rsidRPr="00673F54">
        <w:rPr>
          <w:spacing w:val="-2"/>
        </w:rPr>
        <w:t xml:space="preserve">– </w:t>
      </w:r>
      <w:r w:rsidRPr="00673F54">
        <w:t>Director and Chief Financial Officer</w:t>
      </w:r>
    </w:p>
    <w:p w14:paraId="75AD633F" w14:textId="77777777" w:rsidR="009633AC" w:rsidRPr="005C6077" w:rsidRDefault="009633AC" w:rsidP="009633AC">
      <w:pPr>
        <w:pStyle w:val="ProspectusCont3"/>
      </w:pPr>
      <w:r w:rsidRPr="005C6077">
        <w:t>Mr. Crouse is a seasoned mining executive with 20 years' experience in financial management, mine financial planning, business optimization and strategy development. He occupied the position of CFO of Detour Gold Corp., where he facilitated the successful financial and operational turnaround and sale of the corporation to Kirkland Lake Gold for US$3.7 billion. From August 2021 to July 2023, Mr. Crouse was a founder and Chief Financial Officer of Metals Acquisition Corp – a special purpose acquisition company listed on NYSE that acquired the CSA mine from Glencore for US$1.1 billion. Prior to that, he served as Chief Financial Officer &amp; Vice President-Finance of Triple Flag Mining Finance Ltd., a Toronto-based metal streaming business. From 2015 to 2016, Mr. Crouse was Vice President Business Planning &amp; Optimization at Barrick Gold Corp. where he was instrumental in resetting the cost structure and improving the capital allocation discipline to deliver free cash flow improvements from underperforming assets during a period of low gold prices. Mr. Crouse is a Chartered Professional Accountant (Ontario), a Chartered Accountant (South Africa), and a certified Financial Risk Manager (FRM) with a BComs (Honours) in Accounting Sciences from the University of South Africa.</w:t>
      </w:r>
    </w:p>
    <w:p w14:paraId="17C567CB" w14:textId="77777777" w:rsidR="009633AC" w:rsidRPr="00901CA8" w:rsidRDefault="009633AC" w:rsidP="009633AC">
      <w:pPr>
        <w:pStyle w:val="ProspectusL3"/>
        <w:rPr>
          <w:lang w:eastAsia="en-GB"/>
        </w:rPr>
      </w:pPr>
      <w:r w:rsidRPr="00680200">
        <w:lastRenderedPageBreak/>
        <w:t>Liane Kelly</w:t>
      </w:r>
      <w:r>
        <w:t xml:space="preserve"> </w:t>
      </w:r>
      <w:r w:rsidRPr="00673F54">
        <w:rPr>
          <w:spacing w:val="-2"/>
        </w:rPr>
        <w:t xml:space="preserve">– </w:t>
      </w:r>
      <w:r w:rsidRPr="00673F54">
        <w:t>Director</w:t>
      </w:r>
    </w:p>
    <w:p w14:paraId="0B2B8CA0" w14:textId="77777777" w:rsidR="009633AC" w:rsidRDefault="009633AC" w:rsidP="009633AC">
      <w:pPr>
        <w:pStyle w:val="ProspectusCont3"/>
      </w:pPr>
      <w:r w:rsidRPr="005E2508">
        <w:t>Liane Kelly is a CSR professional with extensive experience in environment, social and governance (ESG) oversight. Her expertise focuses on sustainability strategies, social risk management, and methodologies for effective community investment outcomes. Her professional career includes working as an exploration geophysicist in the global mining sector. Liane currently sits on the board of B2Gold Corp.</w:t>
      </w:r>
      <w:r>
        <w:t xml:space="preserve"> (</w:t>
      </w:r>
      <w:r w:rsidRPr="00EA3BD6">
        <w:t xml:space="preserve">a Canadian </w:t>
      </w:r>
      <w:r>
        <w:t>gold-</w:t>
      </w:r>
      <w:r w:rsidRPr="00EA3BD6">
        <w:t>mining company)</w:t>
      </w:r>
      <w:r w:rsidRPr="005E2508">
        <w:t xml:space="preserve">, is a member of their HSESS (health, safety, environment, social and security) </w:t>
      </w:r>
      <w:r>
        <w:t>c</w:t>
      </w:r>
      <w:r w:rsidRPr="005E2508">
        <w:t>ommittee, and has worked with other boards in areas of governance, board performance and diversity, and employee ownership.</w:t>
      </w:r>
    </w:p>
    <w:p w14:paraId="20BE7A3E" w14:textId="77777777" w:rsidR="009633AC" w:rsidRPr="00901CA8" w:rsidRDefault="009633AC" w:rsidP="009633AC">
      <w:pPr>
        <w:pStyle w:val="ProspectusL3"/>
        <w:rPr>
          <w:lang w:eastAsia="en-GB"/>
        </w:rPr>
      </w:pPr>
      <w:r w:rsidRPr="00680200">
        <w:t xml:space="preserve">David Neuhauser </w:t>
      </w:r>
      <w:r w:rsidRPr="00673F54">
        <w:rPr>
          <w:spacing w:val="-2"/>
        </w:rPr>
        <w:t xml:space="preserve">– </w:t>
      </w:r>
      <w:r w:rsidRPr="00673F54">
        <w:t>Director</w:t>
      </w:r>
    </w:p>
    <w:p w14:paraId="46646521" w14:textId="77777777" w:rsidR="009633AC" w:rsidRPr="00866A04" w:rsidRDefault="009633AC" w:rsidP="009633AC">
      <w:pPr>
        <w:pStyle w:val="ProspectusCont3"/>
        <w:rPr>
          <w:b/>
        </w:rPr>
      </w:pPr>
      <w:r w:rsidRPr="00866A04">
        <w:t>David Neuhauser has extensive capital markets and M&amp;A experience and is the founder and managing director of event-driven hedge fund Livermore Partners in Chicago. He has invested in and advised global public companies for the past 21 years and has a strong track record of enhancing intrinsic value. Mr. Neuhauser currently sits on the board of Shareholders Gold Council, a Canadian corporation promoting best practices in the gold mining industry, AIM-quoted Jadestone Energy Plc, and Kolibri Global Energy Inc.</w:t>
      </w:r>
    </w:p>
    <w:p w14:paraId="14887D34" w14:textId="77777777" w:rsidR="009633AC" w:rsidRPr="00901CA8" w:rsidRDefault="009633AC" w:rsidP="009633AC">
      <w:pPr>
        <w:pStyle w:val="ProspectusL3"/>
        <w:rPr>
          <w:lang w:eastAsia="en-GB"/>
        </w:rPr>
      </w:pPr>
      <w:r w:rsidRPr="00680200">
        <w:t>Line Frederiksen</w:t>
      </w:r>
      <w:r>
        <w:t xml:space="preserve"> </w:t>
      </w:r>
      <w:r w:rsidRPr="00673F54">
        <w:rPr>
          <w:spacing w:val="-2"/>
        </w:rPr>
        <w:t xml:space="preserve">– </w:t>
      </w:r>
      <w:r w:rsidRPr="00673F54">
        <w:t>Director</w:t>
      </w:r>
    </w:p>
    <w:p w14:paraId="5338020A" w14:textId="77777777" w:rsidR="009633AC" w:rsidRDefault="009633AC" w:rsidP="009633AC">
      <w:pPr>
        <w:pStyle w:val="ProspectusCont3"/>
      </w:pPr>
      <w:r w:rsidRPr="00C66233">
        <w:t xml:space="preserve">Line Frederiksen has substantial experience in Greenlandic infrastructure and is currently an independent consultant, working with </w:t>
      </w:r>
      <w:r>
        <w:t>c</w:t>
      </w:r>
      <w:r w:rsidRPr="00C66233">
        <w:t xml:space="preserve">ompanies within the CFO services field. </w:t>
      </w:r>
      <w:r>
        <w:t>S</w:t>
      </w:r>
      <w:r w:rsidRPr="00C66233">
        <w:t>he is</w:t>
      </w:r>
      <w:r>
        <w:t xml:space="preserve"> also a</w:t>
      </w:r>
      <w:r w:rsidRPr="00C66233">
        <w:t xml:space="preserve"> member of the board at Arctic Umiaq Line A/S, the national ferry services in Greenland.  Until September 2022</w:t>
      </w:r>
      <w:r>
        <w:t>,</w:t>
      </w:r>
      <w:r w:rsidRPr="00C66233">
        <w:t xml:space="preserve"> she was CFO at Tusass (formerly Tele Greenland A/S), the leading provider of telecom solutions in Greenland, as well as being responsible for cybersecurity governance. Prior to being promoted to CFO, Ms. Frederiksen was the Head of Finance at Tele Greenland A/S and has previously had roles at Air Greenland. On February 9</w:t>
      </w:r>
      <w:r>
        <w:t>, 2024,</w:t>
      </w:r>
      <w:r w:rsidRPr="00C66233">
        <w:t xml:space="preserve"> Ms. Frederiksen was appointed as Chair of the Board of Directors of NunaGreen A/S, a government-owned company focused on enhancing hydro power infrastructure in Greenland and promoting green energy initiatives.</w:t>
      </w:r>
    </w:p>
    <w:p w14:paraId="26B324C8" w14:textId="77777777" w:rsidR="009633AC" w:rsidRPr="00901CA8" w:rsidRDefault="009633AC" w:rsidP="009633AC">
      <w:pPr>
        <w:pStyle w:val="ProspectusL3"/>
        <w:rPr>
          <w:lang w:eastAsia="en-GB"/>
        </w:rPr>
      </w:pPr>
      <w:r w:rsidRPr="00680200">
        <w:t xml:space="preserve">Warwick Morley-Jepson </w:t>
      </w:r>
      <w:r w:rsidRPr="00673F54">
        <w:rPr>
          <w:spacing w:val="-2"/>
        </w:rPr>
        <w:t xml:space="preserve">– </w:t>
      </w:r>
      <w:r w:rsidRPr="00673F54">
        <w:t xml:space="preserve">Director </w:t>
      </w:r>
    </w:p>
    <w:p w14:paraId="4196DCC1" w14:textId="15B85278" w:rsidR="009633AC" w:rsidRPr="003616BF" w:rsidRDefault="009633AC" w:rsidP="009633AC">
      <w:pPr>
        <w:pStyle w:val="ProspectusCont3"/>
        <w:rPr>
          <w:b/>
        </w:rPr>
      </w:pPr>
      <w:r w:rsidRPr="003616BF">
        <w:t>Warwick Morley-Jepson is</w:t>
      </w:r>
      <w:r>
        <w:t xml:space="preserve"> a</w:t>
      </w:r>
      <w:r w:rsidRPr="003616BF">
        <w:t xml:space="preserve"> mining professional with a track record of increasing responsibility over a 39-year career in the hard rock, capital intensive resource industry. Currently</w:t>
      </w:r>
      <w:r>
        <w:t xml:space="preserve"> he</w:t>
      </w:r>
      <w:r w:rsidRPr="003616BF">
        <w:t xml:space="preserve"> is the Chairman of Wesdome Gold Mines (TSX:WDO)</w:t>
      </w:r>
      <w:r w:rsidR="00C37F49">
        <w:t xml:space="preserve"> (a mining company)</w:t>
      </w:r>
      <w:r w:rsidRPr="003616BF">
        <w:t xml:space="preserve"> and </w:t>
      </w:r>
      <w:r>
        <w:t xml:space="preserve">a </w:t>
      </w:r>
      <w:r w:rsidRPr="003616BF">
        <w:t>director of Karora Resources (TSX:KRR)</w:t>
      </w:r>
      <w:r w:rsidR="00C37F49">
        <w:t xml:space="preserve"> (a mining company)</w:t>
      </w:r>
      <w:r w:rsidRPr="003616BF">
        <w:t xml:space="preserve">. </w:t>
      </w:r>
      <w:r>
        <w:t>He has h</w:t>
      </w:r>
      <w:r w:rsidRPr="003616BF">
        <w:t xml:space="preserve">eld executive and management positions within deep level and open pit </w:t>
      </w:r>
      <w:r>
        <w:t>g</w:t>
      </w:r>
      <w:r w:rsidRPr="003616BF">
        <w:t xml:space="preserve">old, </w:t>
      </w:r>
      <w:r>
        <w:t>p</w:t>
      </w:r>
      <w:r w:rsidRPr="003616BF">
        <w:t xml:space="preserve">latinum and </w:t>
      </w:r>
      <w:r>
        <w:t>b</w:t>
      </w:r>
      <w:r w:rsidRPr="003616BF">
        <w:t xml:space="preserve">ase </w:t>
      </w:r>
      <w:r>
        <w:t>m</w:t>
      </w:r>
      <w:r w:rsidRPr="003616BF">
        <w:t xml:space="preserve">etal mining operations and undertaken several mine development projects at a senior level. </w:t>
      </w:r>
      <w:r>
        <w:t>He s</w:t>
      </w:r>
      <w:r w:rsidRPr="003616BF">
        <w:t>erved as Executive Vice President and Chief Operating Officer of Ivanhoe Mines (2019 to 2020) and Kinross Gold Corporation (2014 to 2016), and as Senior Vice President, Operations, and Regional Vice President – Russia (2009 to 2014). Warwick served as Chief Executive Officer of SUN Gold and Managing Director of Barrick Africa, Barrick Platinum South Africa and three Russian-based companies in the Barrick group. Warwick graduated in the faculty of Mechanical Engineering (HND) at the Technicon Witwatersrand and completed programs at the Graduate School of Business at Cape Town University, Witwatersrand School of Business at the University of the Witwatersrand and Harvard Business School.</w:t>
      </w:r>
    </w:p>
    <w:p w14:paraId="539FB89F" w14:textId="77777777" w:rsidR="009633AC" w:rsidRDefault="009633AC" w:rsidP="009633AC">
      <w:pPr>
        <w:pStyle w:val="ProspectusL3"/>
      </w:pPr>
      <w:r w:rsidRPr="00673F54">
        <w:t>Joan Plan</w:t>
      </w:r>
      <w:r>
        <w:t xml:space="preserve">t </w:t>
      </w:r>
      <w:r>
        <w:rPr>
          <w:lang w:val="en-GB"/>
        </w:rPr>
        <w:t xml:space="preserve">- </w:t>
      </w:r>
      <w:r w:rsidRPr="00673F54">
        <w:t>Executive Vice President</w:t>
      </w:r>
    </w:p>
    <w:p w14:paraId="317A83CE" w14:textId="77777777" w:rsidR="009633AC" w:rsidRDefault="009633AC" w:rsidP="009633AC">
      <w:pPr>
        <w:pStyle w:val="ProspectusCont3"/>
      </w:pPr>
      <w:r w:rsidRPr="00147CCE">
        <w:t>Joan has 13 years of experience operating in Greenland, and has worked on the Nalunaq project since 2010. During this time, she has built a strong relationship with the Government of Greenland whilst successfully applying her in-depth knowledge and expertise covering all aspects of the mining licencing, governance and monitoring processes.</w:t>
      </w:r>
    </w:p>
    <w:p w14:paraId="441F39B9" w14:textId="77777777" w:rsidR="009633AC" w:rsidRDefault="009633AC" w:rsidP="009633AC">
      <w:pPr>
        <w:pStyle w:val="ProspectusCont3"/>
        <w:rPr>
          <w:bCs/>
          <w:color w:val="000000"/>
          <w:lang w:val="en-US" w:eastAsia="fr-FR"/>
        </w:rPr>
      </w:pPr>
      <w:r w:rsidRPr="00147CCE">
        <w:rPr>
          <w:bCs/>
          <w:color w:val="000000"/>
          <w:lang w:val="en-US" w:eastAsia="fr-FR"/>
        </w:rPr>
        <w:t xml:space="preserve">Joan has been a member of the Amaroq team since the </w:t>
      </w:r>
      <w:r>
        <w:rPr>
          <w:bCs/>
          <w:color w:val="000000"/>
          <w:lang w:val="en-US" w:eastAsia="fr-FR"/>
        </w:rPr>
        <w:t>Corporation'</w:t>
      </w:r>
      <w:r w:rsidRPr="00147CCE">
        <w:rPr>
          <w:bCs/>
          <w:color w:val="000000"/>
          <w:lang w:val="en-US" w:eastAsia="fr-FR"/>
        </w:rPr>
        <w:t>s inception in 2017, and has played an integral part in facilitating its growth. As VP ESG and Corporate Secretary</w:t>
      </w:r>
      <w:r>
        <w:rPr>
          <w:bCs/>
          <w:color w:val="000000"/>
          <w:lang w:val="en-US" w:eastAsia="fr-FR"/>
        </w:rPr>
        <w:t>,</w:t>
      </w:r>
      <w:r w:rsidRPr="00147CCE">
        <w:rPr>
          <w:bCs/>
          <w:color w:val="000000"/>
          <w:lang w:val="en-US" w:eastAsia="fr-FR"/>
        </w:rPr>
        <w:t xml:space="preserve"> she has driven the </w:t>
      </w:r>
      <w:r>
        <w:rPr>
          <w:bCs/>
          <w:color w:val="000000"/>
          <w:lang w:val="en-US" w:eastAsia="fr-FR"/>
        </w:rPr>
        <w:t>Corporation'</w:t>
      </w:r>
      <w:r w:rsidRPr="00147CCE">
        <w:rPr>
          <w:bCs/>
          <w:color w:val="000000"/>
          <w:lang w:val="en-US" w:eastAsia="fr-FR"/>
        </w:rPr>
        <w:t xml:space="preserve">s </w:t>
      </w:r>
      <w:r>
        <w:rPr>
          <w:bCs/>
          <w:color w:val="000000"/>
          <w:lang w:val="en-US" w:eastAsia="fr-FR"/>
        </w:rPr>
        <w:t>s</w:t>
      </w:r>
      <w:r w:rsidRPr="00147CCE">
        <w:rPr>
          <w:bCs/>
          <w:color w:val="000000"/>
          <w:lang w:val="en-US" w:eastAsia="fr-FR"/>
        </w:rPr>
        <w:t>ustainability initiatives in Greenland, and has assumed responsibility for community engagement and local programmes. Joan is a member of the Greenland Business Association Industry Committee for Mineral Exploration and Extraction 2022-2024.</w:t>
      </w:r>
    </w:p>
    <w:p w14:paraId="7CF63769" w14:textId="77777777" w:rsidR="009633AC" w:rsidRDefault="009633AC" w:rsidP="009633AC">
      <w:pPr>
        <w:pStyle w:val="ProspectusCont3"/>
        <w:rPr>
          <w:bCs/>
          <w:color w:val="000000"/>
          <w:lang w:val="en-US" w:eastAsia="fr-FR"/>
        </w:rPr>
      </w:pPr>
      <w:r w:rsidRPr="00147CCE">
        <w:rPr>
          <w:bCs/>
          <w:color w:val="000000"/>
          <w:lang w:val="en-US" w:eastAsia="fr-FR"/>
        </w:rPr>
        <w:t>Prior to joining Amaroq, Joan worked for 14 years in various positions at Barclays Bank, including becoming the Change Manager responsible for 13 sites, before moving to a Project Manager role at Barclays</w:t>
      </w:r>
      <w:r>
        <w:rPr>
          <w:bCs/>
          <w:color w:val="000000"/>
          <w:lang w:val="en-US" w:eastAsia="fr-FR"/>
        </w:rPr>
        <w:t>'</w:t>
      </w:r>
      <w:r w:rsidRPr="00147CCE">
        <w:rPr>
          <w:bCs/>
          <w:color w:val="000000"/>
          <w:lang w:val="en-US" w:eastAsia="fr-FR"/>
        </w:rPr>
        <w:t xml:space="preserve"> head office.</w:t>
      </w:r>
    </w:p>
    <w:p w14:paraId="0CB8A2BF" w14:textId="77777777" w:rsidR="009633AC" w:rsidRPr="00147CCE" w:rsidRDefault="009633AC" w:rsidP="009633AC">
      <w:pPr>
        <w:pStyle w:val="ProspectusCont3"/>
        <w:rPr>
          <w:bCs/>
          <w:color w:val="000000"/>
          <w:lang w:val="en-US" w:eastAsia="fr-FR"/>
        </w:rPr>
      </w:pPr>
      <w:r w:rsidRPr="00147CCE">
        <w:rPr>
          <w:bCs/>
          <w:color w:val="000000"/>
          <w:lang w:val="en-US" w:eastAsia="fr-FR"/>
        </w:rPr>
        <w:lastRenderedPageBreak/>
        <w:t xml:space="preserve">Joan is responsible for overseeing strategic initiatives, driving growth and development, and overseeing the </w:t>
      </w:r>
      <w:r>
        <w:rPr>
          <w:bCs/>
          <w:color w:val="000000"/>
          <w:lang w:val="en-US" w:eastAsia="fr-FR"/>
        </w:rPr>
        <w:t>Corporation's</w:t>
      </w:r>
      <w:r w:rsidRPr="00147CCE">
        <w:rPr>
          <w:bCs/>
          <w:color w:val="000000"/>
          <w:lang w:val="en-US" w:eastAsia="fr-FR"/>
        </w:rPr>
        <w:t xml:space="preserve"> </w:t>
      </w:r>
      <w:r>
        <w:rPr>
          <w:bCs/>
          <w:color w:val="000000"/>
          <w:lang w:val="en-US" w:eastAsia="fr-FR"/>
        </w:rPr>
        <w:t>s</w:t>
      </w:r>
      <w:r w:rsidRPr="00147CCE">
        <w:rPr>
          <w:bCs/>
          <w:color w:val="000000"/>
          <w:lang w:val="en-US" w:eastAsia="fr-FR"/>
        </w:rPr>
        <w:t xml:space="preserve">ustainability programmes. She plays a pivotal role in guiding the </w:t>
      </w:r>
      <w:r>
        <w:rPr>
          <w:bCs/>
          <w:color w:val="000000"/>
          <w:lang w:val="en-US" w:eastAsia="fr-FR"/>
        </w:rPr>
        <w:t>Corporation'</w:t>
      </w:r>
      <w:r w:rsidRPr="00147CCE">
        <w:rPr>
          <w:bCs/>
          <w:color w:val="000000"/>
          <w:lang w:val="en-US" w:eastAsia="fr-FR"/>
        </w:rPr>
        <w:t>s vision to create a Greenlandic legacy and ensuring its continued success.</w:t>
      </w:r>
    </w:p>
    <w:p w14:paraId="22482692" w14:textId="77777777" w:rsidR="009633AC" w:rsidRPr="00901CA8" w:rsidRDefault="009633AC" w:rsidP="009633AC">
      <w:pPr>
        <w:pStyle w:val="ProspectusL3"/>
        <w:rPr>
          <w:lang w:eastAsia="en-GB"/>
        </w:rPr>
      </w:pPr>
      <w:r>
        <w:t>Anna Solotova</w:t>
      </w:r>
      <w:r w:rsidRPr="00680200">
        <w:t xml:space="preserve"> </w:t>
      </w:r>
      <w:r w:rsidRPr="00673F54">
        <w:rPr>
          <w:spacing w:val="-2"/>
        </w:rPr>
        <w:t xml:space="preserve">– </w:t>
      </w:r>
      <w:r w:rsidRPr="00673F54">
        <w:t>Corporate</w:t>
      </w:r>
      <w:r>
        <w:t xml:space="preserve"> Secretary</w:t>
      </w:r>
      <w:r w:rsidRPr="00673F54">
        <w:t xml:space="preserve"> </w:t>
      </w:r>
    </w:p>
    <w:p w14:paraId="44FC76D2" w14:textId="77777777" w:rsidR="009633AC" w:rsidRDefault="009633AC" w:rsidP="009633AC">
      <w:pPr>
        <w:pStyle w:val="ProspectusCont3"/>
        <w:rPr>
          <w:b/>
        </w:rPr>
      </w:pPr>
      <w:r w:rsidRPr="004E2F30">
        <w:t>Anna holds the role of Corporate Secretary of Amaroq. She is an experienced corporate law and governance professional. Prior to joining Amaroq in 2022</w:t>
      </w:r>
      <w:r>
        <w:t>,</w:t>
      </w:r>
      <w:r w:rsidRPr="004E2F30">
        <w:t xml:space="preserve"> Anna served as Corporate Secretary and head of </w:t>
      </w:r>
      <w:r>
        <w:t>c</w:t>
      </w:r>
      <w:r w:rsidRPr="004E2F30">
        <w:t xml:space="preserve">orporate governance team for Polyus Group, supporting the company on major stock exchanges. She is an </w:t>
      </w:r>
      <w:r>
        <w:t>a</w:t>
      </w:r>
      <w:r w:rsidRPr="004E2F30">
        <w:t>ssociate member of the Chartered Governance Institute. Anna holds a law degree from a university in Russia and</w:t>
      </w:r>
      <w:r>
        <w:t xml:space="preserve"> an</w:t>
      </w:r>
      <w:r w:rsidRPr="004E2F30">
        <w:t xml:space="preserve"> LL.M. in American Business Law.</w:t>
      </w:r>
    </w:p>
    <w:p w14:paraId="24673094" w14:textId="77777777" w:rsidR="009633AC" w:rsidRPr="003B0F24" w:rsidRDefault="009633AC" w:rsidP="009633AC">
      <w:pPr>
        <w:pStyle w:val="ProspectusL3"/>
        <w:rPr>
          <w:bCs/>
        </w:rPr>
      </w:pPr>
      <w:r w:rsidRPr="003B0F24">
        <w:t>James Gilbertson - VP Exploration</w:t>
      </w:r>
    </w:p>
    <w:p w14:paraId="25BF72E3" w14:textId="37EE175E" w:rsidR="009633AC" w:rsidRDefault="009633AC" w:rsidP="009633AC">
      <w:pPr>
        <w:pStyle w:val="ProspectusCont3"/>
      </w:pPr>
      <w:r>
        <w:t>James Gilbertson, CGeo, MSCM, is a distinguished geologist and renowned authority in the field of mineral exploration and development</w:t>
      </w:r>
      <w:r w:rsidR="006020CD">
        <w:t xml:space="preserve">, and has </w:t>
      </w:r>
      <w:r>
        <w:t xml:space="preserve">over 20 years </w:t>
      </w:r>
      <w:r w:rsidR="006020CD">
        <w:t>of experience</w:t>
      </w:r>
      <w:r>
        <w:t xml:space="preserve"> </w:t>
      </w:r>
      <w:r w:rsidR="006020CD">
        <w:t>with</w:t>
      </w:r>
      <w:r>
        <w:t xml:space="preserve"> international mineral projects.</w:t>
      </w:r>
    </w:p>
    <w:p w14:paraId="3CA72F21" w14:textId="7E708BF5" w:rsidR="009633AC" w:rsidRDefault="009633AC" w:rsidP="009633AC">
      <w:pPr>
        <w:pStyle w:val="ProspectusCont3"/>
      </w:pPr>
      <w:r>
        <w:t>Before assuming his current role at Amaroq, James served as a consultant for the company</w:t>
      </w:r>
      <w:r w:rsidR="006020CD">
        <w:t xml:space="preserve"> </w:t>
      </w:r>
      <w:r>
        <w:t>during his tenure as Managing Director of SRK Consulting’s exploration division.</w:t>
      </w:r>
    </w:p>
    <w:p w14:paraId="74C7D575" w14:textId="3EB635D5" w:rsidR="009633AC" w:rsidRDefault="009633AC" w:rsidP="009633AC">
      <w:pPr>
        <w:pStyle w:val="ProspectusCont3"/>
      </w:pPr>
      <w:r>
        <w:t>Over a 17-year period, James provided consultancy services and strategic counsel to a diverse range of exploration, development, and mining enterprises worldwide, covering a wide spectrum of commodities during his association with SRK.</w:t>
      </w:r>
    </w:p>
    <w:p w14:paraId="3154ECDB" w14:textId="77777777" w:rsidR="009633AC" w:rsidRPr="003B0F24" w:rsidRDefault="009633AC" w:rsidP="009633AC">
      <w:pPr>
        <w:pStyle w:val="ProspectusCont3"/>
        <w:rPr>
          <w:bCs/>
        </w:rPr>
      </w:pPr>
      <w:r>
        <w:t>His professional focus centres on mineral exploration strategy and optimization, as well as comprehensive design, planning, and management, with a specialized emphasis on gold, porphyry-related, and orthomagmatic deposits. James is also a recognized authority in mineral project valuation and evaluation, earning credentials as a Chartered Geologist and Competent Person (CP) through the Geological Society of London.</w:t>
      </w:r>
    </w:p>
    <w:p w14:paraId="220F5112" w14:textId="77777777" w:rsidR="009633AC" w:rsidRPr="00124878" w:rsidRDefault="009633AC" w:rsidP="009633AC">
      <w:pPr>
        <w:pStyle w:val="ProspectusL2"/>
      </w:pPr>
      <w:r w:rsidRPr="00124878">
        <w:t>Cease</w:t>
      </w:r>
      <w:r w:rsidRPr="00124878">
        <w:rPr>
          <w:spacing w:val="-3"/>
        </w:rPr>
        <w:t xml:space="preserve"> </w:t>
      </w:r>
      <w:r w:rsidRPr="00124878">
        <w:t>Trade</w:t>
      </w:r>
      <w:r w:rsidRPr="00124878">
        <w:rPr>
          <w:spacing w:val="-3"/>
        </w:rPr>
        <w:t xml:space="preserve"> </w:t>
      </w:r>
      <w:r w:rsidRPr="00124878">
        <w:t>Orders, Bankruptcies, Penalties or Sanctions</w:t>
      </w:r>
    </w:p>
    <w:p w14:paraId="40A5EC44" w14:textId="77777777" w:rsidR="009633AC" w:rsidRPr="00150250" w:rsidRDefault="009633AC" w:rsidP="009633AC">
      <w:pPr>
        <w:pStyle w:val="ProspectusCont2"/>
      </w:pPr>
      <w:r>
        <w:rPr>
          <w:spacing w:val="-2"/>
        </w:rPr>
        <w:t>N</w:t>
      </w:r>
      <w:r w:rsidRPr="00150250">
        <w:rPr>
          <w:spacing w:val="-2"/>
        </w:rPr>
        <w:t>o</w:t>
      </w:r>
      <w:r w:rsidRPr="00150250">
        <w:rPr>
          <w:spacing w:val="2"/>
        </w:rPr>
        <w:t xml:space="preserve"> </w:t>
      </w:r>
      <w:r w:rsidRPr="00150250">
        <w:t>director or</w:t>
      </w:r>
      <w:r w:rsidRPr="00150250">
        <w:rPr>
          <w:spacing w:val="1"/>
        </w:rPr>
        <w:t xml:space="preserve"> </w:t>
      </w:r>
      <w:r w:rsidRPr="00150250">
        <w:rPr>
          <w:spacing w:val="-2"/>
        </w:rPr>
        <w:t>executive</w:t>
      </w:r>
      <w:r w:rsidRPr="00150250">
        <w:rPr>
          <w:spacing w:val="2"/>
        </w:rPr>
        <w:t xml:space="preserve"> </w:t>
      </w:r>
      <w:r w:rsidRPr="00150250">
        <w:t>officer</w:t>
      </w:r>
      <w:r w:rsidRPr="00150250">
        <w:rPr>
          <w:spacing w:val="1"/>
        </w:rPr>
        <w:t xml:space="preserve"> </w:t>
      </w:r>
      <w:r w:rsidRPr="00150250">
        <w:t>of</w:t>
      </w:r>
      <w:r w:rsidRPr="00150250">
        <w:rPr>
          <w:spacing w:val="1"/>
        </w:rPr>
        <w:t xml:space="preserve"> </w:t>
      </w:r>
      <w:r w:rsidRPr="00150250">
        <w:t>the</w:t>
      </w:r>
      <w:r w:rsidRPr="00150250">
        <w:rPr>
          <w:spacing w:val="2"/>
        </w:rPr>
        <w:t xml:space="preserve"> </w:t>
      </w:r>
      <w:r w:rsidRPr="00150250">
        <w:t>Corporation</w:t>
      </w:r>
      <w:r w:rsidRPr="00150250">
        <w:rPr>
          <w:spacing w:val="2"/>
        </w:rPr>
        <w:t xml:space="preserve"> </w:t>
      </w:r>
      <w:r w:rsidRPr="00150250">
        <w:t>is,</w:t>
      </w:r>
      <w:r w:rsidRPr="00150250">
        <w:rPr>
          <w:spacing w:val="2"/>
        </w:rPr>
        <w:t xml:space="preserve"> </w:t>
      </w:r>
      <w:r w:rsidRPr="00150250">
        <w:t>as</w:t>
      </w:r>
      <w:r w:rsidRPr="00150250">
        <w:rPr>
          <w:spacing w:val="1"/>
        </w:rPr>
        <w:t xml:space="preserve"> </w:t>
      </w:r>
      <w:r w:rsidRPr="00150250">
        <w:t>at</w:t>
      </w:r>
      <w:r w:rsidRPr="00150250">
        <w:rPr>
          <w:spacing w:val="1"/>
        </w:rPr>
        <w:t xml:space="preserve"> </w:t>
      </w:r>
      <w:r w:rsidRPr="00150250">
        <w:t>the date of</w:t>
      </w:r>
      <w:r w:rsidRPr="00150250">
        <w:rPr>
          <w:spacing w:val="1"/>
        </w:rPr>
        <w:t xml:space="preserve"> </w:t>
      </w:r>
      <w:r w:rsidRPr="00150250">
        <w:t>this</w:t>
      </w:r>
      <w:r>
        <w:rPr>
          <w:spacing w:val="55"/>
        </w:rPr>
        <w:t xml:space="preserve"> </w:t>
      </w:r>
      <w:r w:rsidRPr="00150250">
        <w:t xml:space="preserve">AIF, or </w:t>
      </w:r>
      <w:r>
        <w:t>was</w:t>
      </w:r>
      <w:r w:rsidRPr="00150250">
        <w:t xml:space="preserve"> </w:t>
      </w:r>
      <w:r w:rsidRPr="00150250">
        <w:rPr>
          <w:spacing w:val="-2"/>
        </w:rPr>
        <w:t>within</w:t>
      </w:r>
      <w:r w:rsidRPr="00150250">
        <w:t xml:space="preserve"> 10</w:t>
      </w:r>
      <w:r w:rsidRPr="00150250">
        <w:rPr>
          <w:spacing w:val="2"/>
        </w:rPr>
        <w:t xml:space="preserve"> </w:t>
      </w:r>
      <w:r w:rsidRPr="00150250">
        <w:rPr>
          <w:spacing w:val="-2"/>
        </w:rPr>
        <w:t>years</w:t>
      </w:r>
      <w:r w:rsidRPr="00150250">
        <w:t xml:space="preserve"> before the date of</w:t>
      </w:r>
      <w:r w:rsidRPr="00150250">
        <w:rPr>
          <w:spacing w:val="1"/>
        </w:rPr>
        <w:t xml:space="preserve"> </w:t>
      </w:r>
      <w:r w:rsidRPr="00150250">
        <w:t>this AIF, a director, chief executive officer or</w:t>
      </w:r>
      <w:r>
        <w:rPr>
          <w:spacing w:val="73"/>
        </w:rPr>
        <w:t xml:space="preserve"> </w:t>
      </w:r>
      <w:r w:rsidRPr="00150250">
        <w:t>chief financial officer of any</w:t>
      </w:r>
      <w:r w:rsidRPr="00150250">
        <w:rPr>
          <w:spacing w:val="-3"/>
        </w:rPr>
        <w:t xml:space="preserve"> </w:t>
      </w:r>
      <w:r w:rsidRPr="00150250">
        <w:t>company</w:t>
      </w:r>
      <w:r w:rsidRPr="00150250">
        <w:rPr>
          <w:spacing w:val="-5"/>
        </w:rPr>
        <w:t xml:space="preserve"> </w:t>
      </w:r>
      <w:r w:rsidRPr="00150250">
        <w:t>(including the Corporation) that:</w:t>
      </w:r>
    </w:p>
    <w:p w14:paraId="3865C68B" w14:textId="77777777" w:rsidR="009633AC" w:rsidRPr="00DD6027" w:rsidRDefault="009633AC" w:rsidP="009633AC">
      <w:pPr>
        <w:pStyle w:val="ProspectusL5"/>
      </w:pPr>
      <w:r w:rsidRPr="00DE3315">
        <w:t>was</w:t>
      </w:r>
      <w:r w:rsidRPr="00DE3315">
        <w:rPr>
          <w:spacing w:val="4"/>
        </w:rPr>
        <w:t xml:space="preserve"> </w:t>
      </w:r>
      <w:r w:rsidRPr="00DE3315">
        <w:t>subject to</w:t>
      </w:r>
      <w:r w:rsidRPr="00DE3315">
        <w:rPr>
          <w:spacing w:val="1"/>
        </w:rPr>
        <w:t xml:space="preserve"> </w:t>
      </w:r>
      <w:r w:rsidRPr="00DE3315">
        <w:t>a</w:t>
      </w:r>
      <w:r w:rsidRPr="00DE3315">
        <w:rPr>
          <w:spacing w:val="4"/>
        </w:rPr>
        <w:t xml:space="preserve"> </w:t>
      </w:r>
      <w:r w:rsidRPr="00DE3315">
        <w:t>cease</w:t>
      </w:r>
      <w:r w:rsidRPr="00DE3315">
        <w:rPr>
          <w:spacing w:val="4"/>
        </w:rPr>
        <w:t xml:space="preserve"> </w:t>
      </w:r>
      <w:r w:rsidRPr="00DE3315">
        <w:t>trade order</w:t>
      </w:r>
      <w:r w:rsidRPr="00DE3315">
        <w:rPr>
          <w:spacing w:val="2"/>
        </w:rPr>
        <w:t xml:space="preserve">, an order </w:t>
      </w:r>
      <w:r w:rsidRPr="00DE3315">
        <w:rPr>
          <w:spacing w:val="-2"/>
        </w:rPr>
        <w:t>similar to a cease trade</w:t>
      </w:r>
      <w:r w:rsidRPr="00DE3315">
        <w:rPr>
          <w:spacing w:val="27"/>
        </w:rPr>
        <w:t xml:space="preserve"> </w:t>
      </w:r>
      <w:r w:rsidRPr="00DE3315">
        <w:t>order</w:t>
      </w:r>
      <w:r w:rsidRPr="00DE3315">
        <w:rPr>
          <w:spacing w:val="28"/>
        </w:rPr>
        <w:t xml:space="preserve"> </w:t>
      </w:r>
      <w:r w:rsidRPr="00DE3315">
        <w:t>or</w:t>
      </w:r>
      <w:r w:rsidRPr="00DE3315">
        <w:rPr>
          <w:spacing w:val="27"/>
        </w:rPr>
        <w:t xml:space="preserve"> </w:t>
      </w:r>
      <w:r w:rsidRPr="00DE3315">
        <w:t>an</w:t>
      </w:r>
      <w:r w:rsidRPr="00DE3315">
        <w:rPr>
          <w:spacing w:val="29"/>
        </w:rPr>
        <w:t xml:space="preserve"> </w:t>
      </w:r>
      <w:r w:rsidRPr="00DE3315">
        <w:t>order</w:t>
      </w:r>
      <w:r w:rsidRPr="00DE3315">
        <w:rPr>
          <w:spacing w:val="26"/>
        </w:rPr>
        <w:t xml:space="preserve"> </w:t>
      </w:r>
      <w:r w:rsidRPr="00DE3315">
        <w:rPr>
          <w:spacing w:val="-2"/>
        </w:rPr>
        <w:t>that</w:t>
      </w:r>
      <w:r w:rsidRPr="00DE3315">
        <w:rPr>
          <w:spacing w:val="28"/>
        </w:rPr>
        <w:t xml:space="preserve"> </w:t>
      </w:r>
      <w:r w:rsidRPr="00DE3315">
        <w:t>denied</w:t>
      </w:r>
      <w:r w:rsidRPr="00DE3315">
        <w:rPr>
          <w:spacing w:val="28"/>
        </w:rPr>
        <w:t xml:space="preserve"> </w:t>
      </w:r>
      <w:r w:rsidRPr="00DE3315">
        <w:t>the</w:t>
      </w:r>
      <w:r w:rsidRPr="00DE3315">
        <w:rPr>
          <w:spacing w:val="26"/>
        </w:rPr>
        <w:t xml:space="preserve"> </w:t>
      </w:r>
      <w:r w:rsidRPr="00DE3315">
        <w:t>relevant</w:t>
      </w:r>
      <w:r w:rsidRPr="00DE3315">
        <w:rPr>
          <w:spacing w:val="27"/>
        </w:rPr>
        <w:t xml:space="preserve"> </w:t>
      </w:r>
      <w:r w:rsidRPr="00DE3315">
        <w:t>company</w:t>
      </w:r>
      <w:r w:rsidRPr="00DE3315">
        <w:rPr>
          <w:spacing w:val="23"/>
        </w:rPr>
        <w:t xml:space="preserve"> </w:t>
      </w:r>
      <w:r w:rsidRPr="00DE3315">
        <w:t>access</w:t>
      </w:r>
      <w:r w:rsidRPr="00DE3315">
        <w:rPr>
          <w:spacing w:val="28"/>
        </w:rPr>
        <w:t xml:space="preserve"> </w:t>
      </w:r>
      <w:r w:rsidRPr="00DE3315">
        <w:t>to</w:t>
      </w:r>
      <w:r w:rsidRPr="00DE3315">
        <w:rPr>
          <w:spacing w:val="28"/>
        </w:rPr>
        <w:t xml:space="preserve"> </w:t>
      </w:r>
      <w:r w:rsidRPr="00DE3315">
        <w:t>any</w:t>
      </w:r>
      <w:r w:rsidRPr="00DE3315">
        <w:rPr>
          <w:spacing w:val="23"/>
        </w:rPr>
        <w:t xml:space="preserve"> </w:t>
      </w:r>
      <w:r w:rsidRPr="00DE3315">
        <w:t>exemption</w:t>
      </w:r>
      <w:r w:rsidRPr="00DE3315">
        <w:rPr>
          <w:spacing w:val="29"/>
        </w:rPr>
        <w:t xml:space="preserve"> </w:t>
      </w:r>
      <w:r w:rsidRPr="00DE3315">
        <w:t>under</w:t>
      </w:r>
      <w:r w:rsidRPr="00DE3315">
        <w:rPr>
          <w:spacing w:val="73"/>
        </w:rPr>
        <w:t xml:space="preserve"> </w:t>
      </w:r>
      <w:r w:rsidRPr="00DE3315">
        <w:t>securities legislation, that was, in each case, in effect for a period of more than 30 consecutive days (an "</w:t>
      </w:r>
      <w:r w:rsidRPr="00DE3315">
        <w:rPr>
          <w:b/>
          <w:bCs/>
        </w:rPr>
        <w:t>Order</w:t>
      </w:r>
      <w:r w:rsidRPr="00DE3315">
        <w:t>") and that was issued</w:t>
      </w:r>
      <w:r w:rsidRPr="00DE3315">
        <w:rPr>
          <w:spacing w:val="-2"/>
        </w:rPr>
        <w:t xml:space="preserve"> while</w:t>
      </w:r>
      <w:r w:rsidRPr="00DE3315">
        <w:rPr>
          <w:spacing w:val="4"/>
        </w:rPr>
        <w:t xml:space="preserve"> </w:t>
      </w:r>
      <w:r w:rsidRPr="00DE3315">
        <w:t>the</w:t>
      </w:r>
      <w:r w:rsidRPr="00DE3315">
        <w:rPr>
          <w:spacing w:val="4"/>
        </w:rPr>
        <w:t xml:space="preserve"> </w:t>
      </w:r>
      <w:r w:rsidRPr="00DE3315">
        <w:t>director</w:t>
      </w:r>
      <w:r w:rsidRPr="00DE3315">
        <w:rPr>
          <w:spacing w:val="4"/>
        </w:rPr>
        <w:t xml:space="preserve"> </w:t>
      </w:r>
      <w:r w:rsidRPr="00DE3315">
        <w:t>or</w:t>
      </w:r>
      <w:r w:rsidRPr="00DE3315">
        <w:rPr>
          <w:spacing w:val="4"/>
        </w:rPr>
        <w:t xml:space="preserve"> </w:t>
      </w:r>
      <w:r w:rsidRPr="00DE3315">
        <w:rPr>
          <w:spacing w:val="-2"/>
        </w:rPr>
        <w:t>executive</w:t>
      </w:r>
      <w:r w:rsidRPr="00DE3315">
        <w:rPr>
          <w:spacing w:val="7"/>
        </w:rPr>
        <w:t xml:space="preserve"> </w:t>
      </w:r>
      <w:r w:rsidRPr="00DE3315">
        <w:t>officer</w:t>
      </w:r>
      <w:r w:rsidRPr="00DE3315">
        <w:rPr>
          <w:spacing w:val="3"/>
        </w:rPr>
        <w:t xml:space="preserve"> </w:t>
      </w:r>
      <w:r w:rsidRPr="00DE3315">
        <w:t>was</w:t>
      </w:r>
      <w:r w:rsidRPr="00DE3315">
        <w:rPr>
          <w:spacing w:val="4"/>
        </w:rPr>
        <w:t xml:space="preserve"> </w:t>
      </w:r>
      <w:r w:rsidRPr="00DE3315">
        <w:t>acting</w:t>
      </w:r>
      <w:r w:rsidRPr="00DE3315">
        <w:rPr>
          <w:spacing w:val="4"/>
        </w:rPr>
        <w:t xml:space="preserve"> </w:t>
      </w:r>
      <w:r w:rsidRPr="00DE3315">
        <w:t>in</w:t>
      </w:r>
      <w:r w:rsidRPr="00DE3315">
        <w:rPr>
          <w:spacing w:val="4"/>
        </w:rPr>
        <w:t xml:space="preserve"> </w:t>
      </w:r>
      <w:r w:rsidRPr="00DE3315">
        <w:t>the</w:t>
      </w:r>
      <w:r w:rsidRPr="00DE3315">
        <w:rPr>
          <w:spacing w:val="4"/>
        </w:rPr>
        <w:t xml:space="preserve"> </w:t>
      </w:r>
      <w:r w:rsidRPr="00DE3315">
        <w:t>capacity as</w:t>
      </w:r>
      <w:r w:rsidRPr="00DE3315">
        <w:rPr>
          <w:spacing w:val="59"/>
        </w:rPr>
        <w:t xml:space="preserve"> </w:t>
      </w:r>
      <w:r w:rsidRPr="00DE3315">
        <w:t>director,</w:t>
      </w:r>
      <w:r w:rsidRPr="00DE3315">
        <w:rPr>
          <w:spacing w:val="2"/>
        </w:rPr>
        <w:t xml:space="preserve"> </w:t>
      </w:r>
      <w:r w:rsidRPr="00DE3315">
        <w:t>chief</w:t>
      </w:r>
      <w:r w:rsidRPr="00DE3315">
        <w:rPr>
          <w:spacing w:val="1"/>
        </w:rPr>
        <w:t xml:space="preserve"> </w:t>
      </w:r>
      <w:r w:rsidRPr="00DE3315">
        <w:t>executive</w:t>
      </w:r>
      <w:r w:rsidRPr="00DE3315">
        <w:rPr>
          <w:spacing w:val="2"/>
        </w:rPr>
        <w:t xml:space="preserve"> </w:t>
      </w:r>
      <w:r w:rsidRPr="00DE3315">
        <w:t>officer</w:t>
      </w:r>
      <w:r w:rsidRPr="00DE3315">
        <w:rPr>
          <w:spacing w:val="1"/>
        </w:rPr>
        <w:t xml:space="preserve"> </w:t>
      </w:r>
      <w:r w:rsidRPr="00DE3315">
        <w:t>or</w:t>
      </w:r>
      <w:r w:rsidRPr="00DE3315">
        <w:rPr>
          <w:spacing w:val="1"/>
        </w:rPr>
        <w:t xml:space="preserve"> </w:t>
      </w:r>
      <w:r w:rsidRPr="00DE3315">
        <w:t>chief</w:t>
      </w:r>
      <w:r w:rsidRPr="00DE3315">
        <w:rPr>
          <w:spacing w:val="1"/>
        </w:rPr>
        <w:t xml:space="preserve"> </w:t>
      </w:r>
      <w:r w:rsidRPr="00DE3315">
        <w:t>financial</w:t>
      </w:r>
      <w:r w:rsidRPr="00DE3315">
        <w:rPr>
          <w:spacing w:val="1"/>
        </w:rPr>
        <w:t xml:space="preserve"> </w:t>
      </w:r>
      <w:r w:rsidRPr="00DE3315">
        <w:t>officer; or</w:t>
      </w:r>
    </w:p>
    <w:p w14:paraId="337E942B" w14:textId="77777777" w:rsidR="009633AC" w:rsidRPr="00DD6027" w:rsidRDefault="009633AC" w:rsidP="009633AC">
      <w:pPr>
        <w:pStyle w:val="ProspectusL5"/>
      </w:pPr>
      <w:r w:rsidRPr="00DD6027">
        <w:t>was</w:t>
      </w:r>
      <w:r w:rsidRPr="00DD6027">
        <w:rPr>
          <w:spacing w:val="1"/>
        </w:rPr>
        <w:t xml:space="preserve"> </w:t>
      </w:r>
      <w:r w:rsidRPr="00DD6027">
        <w:t>subject to</w:t>
      </w:r>
      <w:r w:rsidRPr="00DD6027">
        <w:rPr>
          <w:spacing w:val="2"/>
        </w:rPr>
        <w:t xml:space="preserve"> </w:t>
      </w:r>
      <w:r w:rsidRPr="00DD6027">
        <w:t>an Order</w:t>
      </w:r>
      <w:r w:rsidRPr="00DD6027">
        <w:rPr>
          <w:spacing w:val="1"/>
        </w:rPr>
        <w:t xml:space="preserve"> </w:t>
      </w:r>
      <w:r w:rsidRPr="00DD6027">
        <w:t>that was</w:t>
      </w:r>
      <w:r w:rsidRPr="00DD6027">
        <w:rPr>
          <w:spacing w:val="1"/>
        </w:rPr>
        <w:t xml:space="preserve"> </w:t>
      </w:r>
      <w:r w:rsidRPr="00DD6027">
        <w:t>issued</w:t>
      </w:r>
      <w:r w:rsidRPr="00DD6027">
        <w:rPr>
          <w:spacing w:val="2"/>
        </w:rPr>
        <w:t xml:space="preserve"> </w:t>
      </w:r>
      <w:r w:rsidRPr="00DD6027">
        <w:t>after</w:t>
      </w:r>
      <w:r w:rsidRPr="00DD6027">
        <w:rPr>
          <w:spacing w:val="1"/>
        </w:rPr>
        <w:t xml:space="preserve"> </w:t>
      </w:r>
      <w:r w:rsidRPr="00DD6027">
        <w:t>the</w:t>
      </w:r>
      <w:r w:rsidRPr="00DD6027">
        <w:rPr>
          <w:spacing w:val="2"/>
        </w:rPr>
        <w:t xml:space="preserve"> </w:t>
      </w:r>
      <w:r w:rsidRPr="00DD6027">
        <w:t>director</w:t>
      </w:r>
      <w:r w:rsidRPr="00DD6027">
        <w:rPr>
          <w:spacing w:val="1"/>
        </w:rPr>
        <w:t xml:space="preserve"> </w:t>
      </w:r>
      <w:r w:rsidRPr="00DD6027">
        <w:t>or</w:t>
      </w:r>
      <w:r w:rsidRPr="00DD6027">
        <w:rPr>
          <w:spacing w:val="1"/>
        </w:rPr>
        <w:t xml:space="preserve"> </w:t>
      </w:r>
      <w:r w:rsidRPr="00DD6027">
        <w:rPr>
          <w:spacing w:val="-2"/>
        </w:rPr>
        <w:t>executive</w:t>
      </w:r>
      <w:r w:rsidRPr="00DD6027">
        <w:rPr>
          <w:spacing w:val="2"/>
        </w:rPr>
        <w:t xml:space="preserve"> </w:t>
      </w:r>
      <w:r w:rsidRPr="00DD6027">
        <w:t>officer</w:t>
      </w:r>
      <w:r w:rsidRPr="00DD6027">
        <w:rPr>
          <w:spacing w:val="1"/>
        </w:rPr>
        <w:t xml:space="preserve"> </w:t>
      </w:r>
      <w:r w:rsidRPr="00DD6027">
        <w:t>ceased</w:t>
      </w:r>
      <w:r w:rsidRPr="00DD6027">
        <w:rPr>
          <w:spacing w:val="67"/>
        </w:rPr>
        <w:t xml:space="preserve"> </w:t>
      </w:r>
      <w:r w:rsidRPr="00DD6027">
        <w:t>to</w:t>
      </w:r>
      <w:r w:rsidRPr="00DD6027">
        <w:rPr>
          <w:spacing w:val="17"/>
        </w:rPr>
        <w:t xml:space="preserve"> </w:t>
      </w:r>
      <w:r w:rsidRPr="00DD6027">
        <w:t>be</w:t>
      </w:r>
      <w:r w:rsidRPr="00DD6027">
        <w:rPr>
          <w:spacing w:val="16"/>
        </w:rPr>
        <w:t xml:space="preserve"> </w:t>
      </w:r>
      <w:r w:rsidRPr="00DD6027">
        <w:t>a</w:t>
      </w:r>
      <w:r w:rsidRPr="00DD6027">
        <w:rPr>
          <w:spacing w:val="14"/>
        </w:rPr>
        <w:t xml:space="preserve"> </w:t>
      </w:r>
      <w:r w:rsidRPr="00DD6027">
        <w:t>director,</w:t>
      </w:r>
      <w:r w:rsidRPr="00DD6027">
        <w:rPr>
          <w:spacing w:val="17"/>
        </w:rPr>
        <w:t xml:space="preserve"> </w:t>
      </w:r>
      <w:r w:rsidRPr="00DD6027">
        <w:t>chief</w:t>
      </w:r>
      <w:r w:rsidRPr="00DD6027">
        <w:rPr>
          <w:spacing w:val="16"/>
        </w:rPr>
        <w:t xml:space="preserve"> </w:t>
      </w:r>
      <w:r w:rsidRPr="00DD6027">
        <w:rPr>
          <w:spacing w:val="-2"/>
        </w:rPr>
        <w:t>executive</w:t>
      </w:r>
      <w:r w:rsidRPr="00DD6027">
        <w:rPr>
          <w:spacing w:val="16"/>
        </w:rPr>
        <w:t xml:space="preserve"> </w:t>
      </w:r>
      <w:r w:rsidRPr="00DD6027">
        <w:t>officer</w:t>
      </w:r>
      <w:r w:rsidRPr="00DD6027">
        <w:rPr>
          <w:spacing w:val="15"/>
        </w:rPr>
        <w:t xml:space="preserve"> </w:t>
      </w:r>
      <w:r w:rsidRPr="00DD6027">
        <w:t>or</w:t>
      </w:r>
      <w:r w:rsidRPr="00DD6027">
        <w:rPr>
          <w:spacing w:val="16"/>
        </w:rPr>
        <w:t xml:space="preserve"> </w:t>
      </w:r>
      <w:r w:rsidRPr="00DD6027">
        <w:t>chief</w:t>
      </w:r>
      <w:r w:rsidRPr="00DD6027">
        <w:rPr>
          <w:spacing w:val="16"/>
        </w:rPr>
        <w:t xml:space="preserve"> </w:t>
      </w:r>
      <w:r w:rsidRPr="00DD6027">
        <w:t>financial</w:t>
      </w:r>
      <w:r w:rsidRPr="00DD6027">
        <w:rPr>
          <w:spacing w:val="15"/>
        </w:rPr>
        <w:t xml:space="preserve"> </w:t>
      </w:r>
      <w:r w:rsidRPr="00DD6027">
        <w:t>officer</w:t>
      </w:r>
      <w:r w:rsidRPr="00DD6027">
        <w:rPr>
          <w:spacing w:val="15"/>
        </w:rPr>
        <w:t xml:space="preserve"> </w:t>
      </w:r>
      <w:r>
        <w:t>and</w:t>
      </w:r>
      <w:r w:rsidRPr="00DD6027">
        <w:rPr>
          <w:spacing w:val="15"/>
        </w:rPr>
        <w:t xml:space="preserve"> </w:t>
      </w:r>
      <w:r w:rsidRPr="00DD6027">
        <w:t>which</w:t>
      </w:r>
      <w:r w:rsidRPr="00DD6027">
        <w:rPr>
          <w:spacing w:val="16"/>
        </w:rPr>
        <w:t xml:space="preserve"> </w:t>
      </w:r>
      <w:r w:rsidRPr="00DD6027">
        <w:t>resulted</w:t>
      </w:r>
      <w:r w:rsidRPr="00DD6027">
        <w:rPr>
          <w:spacing w:val="14"/>
        </w:rPr>
        <w:t xml:space="preserve"> </w:t>
      </w:r>
      <w:r w:rsidRPr="00DD6027">
        <w:t>from</w:t>
      </w:r>
      <w:r w:rsidRPr="00DD6027">
        <w:rPr>
          <w:spacing w:val="13"/>
        </w:rPr>
        <w:t xml:space="preserve"> </w:t>
      </w:r>
      <w:r w:rsidRPr="00DD6027">
        <w:t>an</w:t>
      </w:r>
      <w:r w:rsidRPr="00DD6027">
        <w:rPr>
          <w:spacing w:val="59"/>
        </w:rPr>
        <w:t xml:space="preserve"> </w:t>
      </w:r>
      <w:r w:rsidRPr="00DD6027">
        <w:t>event</w:t>
      </w:r>
      <w:r w:rsidRPr="00DD6027">
        <w:rPr>
          <w:spacing w:val="1"/>
        </w:rPr>
        <w:t xml:space="preserve"> </w:t>
      </w:r>
      <w:r w:rsidRPr="00DD6027">
        <w:t>that</w:t>
      </w:r>
      <w:r w:rsidRPr="00DD6027">
        <w:rPr>
          <w:spacing w:val="1"/>
        </w:rPr>
        <w:t xml:space="preserve"> </w:t>
      </w:r>
      <w:r w:rsidRPr="00DD6027">
        <w:t>occurred</w:t>
      </w:r>
      <w:r w:rsidRPr="00DD6027">
        <w:rPr>
          <w:spacing w:val="2"/>
        </w:rPr>
        <w:t xml:space="preserve"> </w:t>
      </w:r>
      <w:r w:rsidRPr="00DD6027">
        <w:rPr>
          <w:spacing w:val="-2"/>
        </w:rPr>
        <w:t>while</w:t>
      </w:r>
      <w:r w:rsidRPr="00DD6027">
        <w:rPr>
          <w:spacing w:val="2"/>
        </w:rPr>
        <w:t xml:space="preserve"> </w:t>
      </w:r>
      <w:r w:rsidRPr="00DD6027">
        <w:t>the</w:t>
      </w:r>
      <w:r w:rsidRPr="00DD6027">
        <w:rPr>
          <w:spacing w:val="2"/>
        </w:rPr>
        <w:t xml:space="preserve"> </w:t>
      </w:r>
      <w:r w:rsidRPr="00DD6027">
        <w:t>director</w:t>
      </w:r>
      <w:r w:rsidRPr="00DD6027">
        <w:rPr>
          <w:spacing w:val="1"/>
        </w:rPr>
        <w:t xml:space="preserve"> </w:t>
      </w:r>
      <w:r w:rsidRPr="00DD6027">
        <w:t>or</w:t>
      </w:r>
      <w:r w:rsidRPr="00DD6027">
        <w:rPr>
          <w:spacing w:val="1"/>
        </w:rPr>
        <w:t xml:space="preserve"> </w:t>
      </w:r>
      <w:r w:rsidRPr="00DD6027">
        <w:t>executive</w:t>
      </w:r>
      <w:r w:rsidRPr="00DD6027">
        <w:rPr>
          <w:spacing w:val="2"/>
        </w:rPr>
        <w:t xml:space="preserve"> </w:t>
      </w:r>
      <w:r w:rsidRPr="00DD6027">
        <w:t>officer</w:t>
      </w:r>
      <w:r w:rsidRPr="00DD6027">
        <w:rPr>
          <w:spacing w:val="1"/>
        </w:rPr>
        <w:t xml:space="preserve"> </w:t>
      </w:r>
      <w:r w:rsidRPr="00DD6027">
        <w:t>was</w:t>
      </w:r>
      <w:r w:rsidRPr="00DD6027">
        <w:rPr>
          <w:spacing w:val="1"/>
        </w:rPr>
        <w:t xml:space="preserve"> </w:t>
      </w:r>
      <w:r w:rsidRPr="00DD6027">
        <w:t>acting</w:t>
      </w:r>
      <w:r w:rsidRPr="00DD6027">
        <w:rPr>
          <w:spacing w:val="2"/>
        </w:rPr>
        <w:t xml:space="preserve"> </w:t>
      </w:r>
      <w:r w:rsidRPr="00DD6027">
        <w:t>in</w:t>
      </w:r>
      <w:r w:rsidRPr="00DD6027">
        <w:rPr>
          <w:spacing w:val="2"/>
        </w:rPr>
        <w:t xml:space="preserve"> </w:t>
      </w:r>
      <w:r w:rsidRPr="00DD6027">
        <w:t>the</w:t>
      </w:r>
      <w:r w:rsidRPr="00DD6027">
        <w:rPr>
          <w:spacing w:val="2"/>
        </w:rPr>
        <w:t xml:space="preserve"> </w:t>
      </w:r>
      <w:r w:rsidRPr="00DD6027">
        <w:t>capacity</w:t>
      </w:r>
      <w:r>
        <w:rPr>
          <w:spacing w:val="75"/>
        </w:rPr>
        <w:t xml:space="preserve"> </w:t>
      </w:r>
      <w:r w:rsidRPr="00DD6027">
        <w:t xml:space="preserve">as director, chief </w:t>
      </w:r>
      <w:r w:rsidRPr="00DD6027">
        <w:rPr>
          <w:spacing w:val="-2"/>
        </w:rPr>
        <w:t>executive</w:t>
      </w:r>
      <w:r w:rsidRPr="00DD6027">
        <w:t xml:space="preserve"> officer or chief financial officer</w:t>
      </w:r>
      <w:r w:rsidRPr="00DD6027">
        <w:rPr>
          <w:spacing w:val="-2"/>
        </w:rPr>
        <w:t>.</w:t>
      </w:r>
    </w:p>
    <w:p w14:paraId="1A070F03" w14:textId="77777777" w:rsidR="009633AC" w:rsidRPr="00150250" w:rsidRDefault="009633AC" w:rsidP="009633AC">
      <w:pPr>
        <w:pStyle w:val="ProspectusCont2"/>
      </w:pPr>
      <w:r w:rsidRPr="000B10A2">
        <w:t>Except</w:t>
      </w:r>
      <w:r w:rsidRPr="000B10A2">
        <w:rPr>
          <w:spacing w:val="8"/>
        </w:rPr>
        <w:t xml:space="preserve"> </w:t>
      </w:r>
      <w:r w:rsidRPr="000B10A2">
        <w:t>as</w:t>
      </w:r>
      <w:r w:rsidRPr="000B10A2">
        <w:rPr>
          <w:spacing w:val="8"/>
        </w:rPr>
        <w:t xml:space="preserve"> </w:t>
      </w:r>
      <w:r w:rsidRPr="000B10A2">
        <w:t>disclosed</w:t>
      </w:r>
      <w:r w:rsidRPr="000B10A2">
        <w:rPr>
          <w:spacing w:val="9"/>
        </w:rPr>
        <w:t xml:space="preserve"> </w:t>
      </w:r>
      <w:r w:rsidRPr="000B10A2">
        <w:t>below,</w:t>
      </w:r>
      <w:r w:rsidRPr="000B10A2">
        <w:rPr>
          <w:spacing w:val="7"/>
        </w:rPr>
        <w:t xml:space="preserve"> </w:t>
      </w:r>
      <w:r w:rsidRPr="000B10A2">
        <w:t>no</w:t>
      </w:r>
      <w:r w:rsidRPr="000B10A2">
        <w:rPr>
          <w:spacing w:val="9"/>
        </w:rPr>
        <w:t xml:space="preserve"> </w:t>
      </w:r>
      <w:r w:rsidRPr="000B10A2">
        <w:t>director</w:t>
      </w:r>
      <w:r>
        <w:t xml:space="preserve"> or</w:t>
      </w:r>
      <w:r w:rsidRPr="00150250">
        <w:rPr>
          <w:spacing w:val="9"/>
        </w:rPr>
        <w:t xml:space="preserve"> </w:t>
      </w:r>
      <w:r w:rsidRPr="00150250">
        <w:rPr>
          <w:spacing w:val="-2"/>
        </w:rPr>
        <w:t>executive</w:t>
      </w:r>
      <w:r w:rsidRPr="00150250">
        <w:rPr>
          <w:spacing w:val="9"/>
        </w:rPr>
        <w:t xml:space="preserve"> </w:t>
      </w:r>
      <w:r w:rsidRPr="00150250">
        <w:t>officer</w:t>
      </w:r>
      <w:r>
        <w:t xml:space="preserve"> of the Corporation,</w:t>
      </w:r>
      <w:r w:rsidRPr="00150250">
        <w:rPr>
          <w:spacing w:val="10"/>
        </w:rPr>
        <w:t xml:space="preserve"> </w:t>
      </w:r>
      <w:r w:rsidRPr="00150250">
        <w:t>or</w:t>
      </w:r>
      <w:r>
        <w:rPr>
          <w:spacing w:val="8"/>
        </w:rPr>
        <w:t xml:space="preserve"> </w:t>
      </w:r>
      <w:r w:rsidRPr="00150250">
        <w:t>shareholder</w:t>
      </w:r>
      <w:r w:rsidRPr="00150250">
        <w:rPr>
          <w:spacing w:val="8"/>
        </w:rPr>
        <w:t xml:space="preserve"> </w:t>
      </w:r>
      <w:r w:rsidRPr="00150250">
        <w:t>holding</w:t>
      </w:r>
      <w:r w:rsidRPr="00150250">
        <w:rPr>
          <w:spacing w:val="9"/>
        </w:rPr>
        <w:t xml:space="preserve"> </w:t>
      </w:r>
      <w:r w:rsidRPr="00150250">
        <w:t>a</w:t>
      </w:r>
      <w:r w:rsidRPr="00150250">
        <w:rPr>
          <w:spacing w:val="9"/>
        </w:rPr>
        <w:t xml:space="preserve"> </w:t>
      </w:r>
      <w:r w:rsidRPr="00150250">
        <w:t>sufficient</w:t>
      </w:r>
      <w:r w:rsidRPr="00150250">
        <w:rPr>
          <w:spacing w:val="8"/>
        </w:rPr>
        <w:t xml:space="preserve"> </w:t>
      </w:r>
      <w:r w:rsidRPr="00150250">
        <w:t>number</w:t>
      </w:r>
      <w:r w:rsidRPr="00150250">
        <w:rPr>
          <w:spacing w:val="77"/>
        </w:rPr>
        <w:t xml:space="preserve"> </w:t>
      </w:r>
      <w:r w:rsidRPr="00150250">
        <w:t>of securities of the Corporation to materially</w:t>
      </w:r>
      <w:r w:rsidRPr="00150250">
        <w:rPr>
          <w:spacing w:val="-3"/>
        </w:rPr>
        <w:t xml:space="preserve"> </w:t>
      </w:r>
      <w:r w:rsidRPr="00150250">
        <w:t>affect</w:t>
      </w:r>
      <w:r w:rsidRPr="00150250">
        <w:rPr>
          <w:spacing w:val="-2"/>
        </w:rPr>
        <w:t xml:space="preserve"> </w:t>
      </w:r>
      <w:r w:rsidRPr="00150250">
        <w:t>the control of the Corporation:</w:t>
      </w:r>
    </w:p>
    <w:p w14:paraId="1BD7B451" w14:textId="77777777" w:rsidR="009633AC" w:rsidRPr="000B1046" w:rsidRDefault="009633AC" w:rsidP="009633AC">
      <w:pPr>
        <w:pStyle w:val="ProspectusL5"/>
        <w:numPr>
          <w:ilvl w:val="4"/>
          <w:numId w:val="30"/>
        </w:numPr>
      </w:pPr>
      <w:r w:rsidRPr="000B1046">
        <w:t>is,</w:t>
      </w:r>
      <w:r w:rsidRPr="000B1046">
        <w:rPr>
          <w:spacing w:val="39"/>
        </w:rPr>
        <w:t xml:space="preserve"> </w:t>
      </w:r>
      <w:r w:rsidRPr="000B1046">
        <w:t>as</w:t>
      </w:r>
      <w:r w:rsidRPr="000B1046">
        <w:rPr>
          <w:spacing w:val="40"/>
        </w:rPr>
        <w:t xml:space="preserve"> </w:t>
      </w:r>
      <w:r w:rsidRPr="000B1046">
        <w:t>at</w:t>
      </w:r>
      <w:r w:rsidRPr="000B1046">
        <w:rPr>
          <w:spacing w:val="39"/>
        </w:rPr>
        <w:t xml:space="preserve"> </w:t>
      </w:r>
      <w:r w:rsidRPr="000B1046">
        <w:t>the</w:t>
      </w:r>
      <w:r w:rsidRPr="000B1046">
        <w:rPr>
          <w:spacing w:val="41"/>
        </w:rPr>
        <w:t xml:space="preserve"> </w:t>
      </w:r>
      <w:r w:rsidRPr="000B1046">
        <w:t>date</w:t>
      </w:r>
      <w:r w:rsidRPr="000B1046">
        <w:rPr>
          <w:spacing w:val="40"/>
        </w:rPr>
        <w:t xml:space="preserve"> </w:t>
      </w:r>
      <w:r w:rsidRPr="000B1046">
        <w:t>of</w:t>
      </w:r>
      <w:r w:rsidRPr="000B1046">
        <w:rPr>
          <w:spacing w:val="40"/>
        </w:rPr>
        <w:t xml:space="preserve"> </w:t>
      </w:r>
      <w:r w:rsidRPr="000B1046">
        <w:t>this</w:t>
      </w:r>
      <w:r w:rsidRPr="000B1046">
        <w:rPr>
          <w:spacing w:val="39"/>
        </w:rPr>
        <w:t xml:space="preserve"> </w:t>
      </w:r>
      <w:r w:rsidRPr="000B1046">
        <w:t>AIF,</w:t>
      </w:r>
      <w:r w:rsidRPr="000B1046">
        <w:rPr>
          <w:spacing w:val="40"/>
        </w:rPr>
        <w:t xml:space="preserve"> </w:t>
      </w:r>
      <w:r w:rsidRPr="000B1046">
        <w:t>or</w:t>
      </w:r>
      <w:r w:rsidRPr="000B1046">
        <w:rPr>
          <w:spacing w:val="39"/>
        </w:rPr>
        <w:t xml:space="preserve"> </w:t>
      </w:r>
      <w:r w:rsidRPr="000B1046">
        <w:t>has</w:t>
      </w:r>
      <w:r w:rsidRPr="000B1046">
        <w:rPr>
          <w:spacing w:val="40"/>
        </w:rPr>
        <w:t xml:space="preserve"> </w:t>
      </w:r>
      <w:r w:rsidRPr="000B1046">
        <w:t>been</w:t>
      </w:r>
      <w:r w:rsidRPr="000B1046">
        <w:rPr>
          <w:spacing w:val="40"/>
        </w:rPr>
        <w:t xml:space="preserve"> </w:t>
      </w:r>
      <w:r w:rsidRPr="000B1046">
        <w:t>within</w:t>
      </w:r>
      <w:r w:rsidRPr="000B1046">
        <w:rPr>
          <w:spacing w:val="41"/>
        </w:rPr>
        <w:t xml:space="preserve"> </w:t>
      </w:r>
      <w:r w:rsidRPr="000B1046">
        <w:t>10</w:t>
      </w:r>
      <w:r w:rsidRPr="000B1046">
        <w:rPr>
          <w:spacing w:val="40"/>
        </w:rPr>
        <w:t xml:space="preserve"> </w:t>
      </w:r>
      <w:r w:rsidRPr="000B1046">
        <w:rPr>
          <w:spacing w:val="-2"/>
        </w:rPr>
        <w:t>years</w:t>
      </w:r>
      <w:r w:rsidRPr="000B1046">
        <w:rPr>
          <w:spacing w:val="40"/>
        </w:rPr>
        <w:t xml:space="preserve"> </w:t>
      </w:r>
      <w:r w:rsidRPr="000B1046">
        <w:t>before</w:t>
      </w:r>
      <w:r w:rsidRPr="000B1046">
        <w:rPr>
          <w:spacing w:val="40"/>
        </w:rPr>
        <w:t xml:space="preserve"> </w:t>
      </w:r>
      <w:r w:rsidRPr="000B1046">
        <w:t>the</w:t>
      </w:r>
      <w:r w:rsidRPr="000B1046">
        <w:rPr>
          <w:spacing w:val="41"/>
        </w:rPr>
        <w:t xml:space="preserve"> </w:t>
      </w:r>
      <w:r w:rsidRPr="000B1046">
        <w:t>date</w:t>
      </w:r>
      <w:r w:rsidRPr="000B1046">
        <w:rPr>
          <w:spacing w:val="42"/>
        </w:rPr>
        <w:t xml:space="preserve"> </w:t>
      </w:r>
      <w:r w:rsidRPr="000B1046">
        <w:t>of</w:t>
      </w:r>
      <w:r w:rsidRPr="000B1046">
        <w:rPr>
          <w:spacing w:val="40"/>
        </w:rPr>
        <w:t xml:space="preserve"> </w:t>
      </w:r>
      <w:r w:rsidRPr="000B1046">
        <w:t>this</w:t>
      </w:r>
      <w:r w:rsidRPr="000B1046">
        <w:rPr>
          <w:spacing w:val="51"/>
        </w:rPr>
        <w:t xml:space="preserve"> </w:t>
      </w:r>
      <w:r w:rsidRPr="000B1046">
        <w:t>AIF,</w:t>
      </w:r>
      <w:r w:rsidRPr="000B1046">
        <w:rPr>
          <w:spacing w:val="16"/>
        </w:rPr>
        <w:t xml:space="preserve"> </w:t>
      </w:r>
      <w:r w:rsidRPr="000B1046">
        <w:t>a</w:t>
      </w:r>
      <w:r w:rsidRPr="000B1046">
        <w:rPr>
          <w:spacing w:val="19"/>
        </w:rPr>
        <w:t xml:space="preserve"> </w:t>
      </w:r>
      <w:r w:rsidRPr="000B1046">
        <w:t>director</w:t>
      </w:r>
      <w:r w:rsidRPr="000B1046">
        <w:rPr>
          <w:spacing w:val="18"/>
        </w:rPr>
        <w:t xml:space="preserve"> </w:t>
      </w:r>
      <w:r w:rsidRPr="000B1046">
        <w:t>or</w:t>
      </w:r>
      <w:r w:rsidRPr="000B1046">
        <w:rPr>
          <w:spacing w:val="16"/>
        </w:rPr>
        <w:t xml:space="preserve"> </w:t>
      </w:r>
      <w:r w:rsidRPr="000B1046">
        <w:rPr>
          <w:spacing w:val="-2"/>
        </w:rPr>
        <w:t>executive</w:t>
      </w:r>
      <w:r w:rsidRPr="000B1046">
        <w:rPr>
          <w:spacing w:val="19"/>
        </w:rPr>
        <w:t xml:space="preserve"> </w:t>
      </w:r>
      <w:r w:rsidRPr="000B1046">
        <w:t>officer</w:t>
      </w:r>
      <w:r w:rsidRPr="000B1046">
        <w:rPr>
          <w:spacing w:val="18"/>
        </w:rPr>
        <w:t xml:space="preserve"> </w:t>
      </w:r>
      <w:r w:rsidRPr="000B1046">
        <w:t>of</w:t>
      </w:r>
      <w:r w:rsidRPr="000B1046">
        <w:rPr>
          <w:spacing w:val="18"/>
        </w:rPr>
        <w:t xml:space="preserve"> </w:t>
      </w:r>
      <w:r w:rsidRPr="000B1046">
        <w:t>any</w:t>
      </w:r>
      <w:r w:rsidRPr="000B1046">
        <w:rPr>
          <w:spacing w:val="14"/>
        </w:rPr>
        <w:t xml:space="preserve"> </w:t>
      </w:r>
      <w:r w:rsidRPr="000B1046">
        <w:t>company</w:t>
      </w:r>
      <w:r w:rsidRPr="000B1046">
        <w:rPr>
          <w:spacing w:val="14"/>
        </w:rPr>
        <w:t xml:space="preserve"> </w:t>
      </w:r>
      <w:r w:rsidRPr="000B1046">
        <w:t>(including</w:t>
      </w:r>
      <w:r w:rsidRPr="000B1046">
        <w:rPr>
          <w:spacing w:val="19"/>
        </w:rPr>
        <w:t xml:space="preserve"> </w:t>
      </w:r>
      <w:r w:rsidRPr="000B1046">
        <w:t>the</w:t>
      </w:r>
      <w:r w:rsidRPr="000B1046">
        <w:rPr>
          <w:spacing w:val="19"/>
        </w:rPr>
        <w:t xml:space="preserve"> </w:t>
      </w:r>
      <w:r w:rsidRPr="000B1046">
        <w:t>Corporation)</w:t>
      </w:r>
      <w:r w:rsidRPr="000B1046">
        <w:rPr>
          <w:spacing w:val="18"/>
        </w:rPr>
        <w:t xml:space="preserve"> </w:t>
      </w:r>
      <w:r w:rsidRPr="000B1046">
        <w:t>that,</w:t>
      </w:r>
      <w:r w:rsidRPr="000B1046">
        <w:rPr>
          <w:spacing w:val="71"/>
        </w:rPr>
        <w:t xml:space="preserve"> </w:t>
      </w:r>
      <w:r w:rsidRPr="000B1046">
        <w:rPr>
          <w:spacing w:val="-2"/>
        </w:rPr>
        <w:t>while</w:t>
      </w:r>
      <w:r w:rsidRPr="000B1046">
        <w:rPr>
          <w:spacing w:val="7"/>
        </w:rPr>
        <w:t xml:space="preserve"> </w:t>
      </w:r>
      <w:r w:rsidRPr="000B1046">
        <w:t>that</w:t>
      </w:r>
      <w:r w:rsidRPr="000B1046">
        <w:rPr>
          <w:spacing w:val="6"/>
        </w:rPr>
        <w:t xml:space="preserve"> </w:t>
      </w:r>
      <w:r w:rsidRPr="000B1046">
        <w:t>person</w:t>
      </w:r>
      <w:r w:rsidRPr="000B1046">
        <w:rPr>
          <w:spacing w:val="7"/>
        </w:rPr>
        <w:t xml:space="preserve"> </w:t>
      </w:r>
      <w:r w:rsidRPr="000B1046">
        <w:t>was</w:t>
      </w:r>
      <w:r w:rsidRPr="000B1046">
        <w:rPr>
          <w:spacing w:val="6"/>
        </w:rPr>
        <w:t xml:space="preserve"> </w:t>
      </w:r>
      <w:r w:rsidRPr="000B1046">
        <w:t>acting</w:t>
      </w:r>
      <w:r w:rsidRPr="000B1046">
        <w:rPr>
          <w:spacing w:val="9"/>
        </w:rPr>
        <w:t xml:space="preserve"> </w:t>
      </w:r>
      <w:r w:rsidRPr="000B1046">
        <w:t>in</w:t>
      </w:r>
      <w:r w:rsidRPr="000B1046">
        <w:rPr>
          <w:spacing w:val="7"/>
        </w:rPr>
        <w:t xml:space="preserve"> </w:t>
      </w:r>
      <w:r w:rsidRPr="000B1046">
        <w:t>that</w:t>
      </w:r>
      <w:r w:rsidRPr="000B1046">
        <w:rPr>
          <w:spacing w:val="6"/>
        </w:rPr>
        <w:t xml:space="preserve"> </w:t>
      </w:r>
      <w:r w:rsidRPr="000B1046">
        <w:t>capacity,</w:t>
      </w:r>
      <w:r w:rsidRPr="000B1046">
        <w:rPr>
          <w:spacing w:val="9"/>
        </w:rPr>
        <w:t xml:space="preserve"> </w:t>
      </w:r>
      <w:r w:rsidRPr="000B1046">
        <w:t>or</w:t>
      </w:r>
      <w:r w:rsidRPr="000B1046">
        <w:rPr>
          <w:spacing w:val="6"/>
        </w:rPr>
        <w:t xml:space="preserve"> </w:t>
      </w:r>
      <w:r w:rsidRPr="000B1046">
        <w:t>within</w:t>
      </w:r>
      <w:r w:rsidRPr="000B1046">
        <w:rPr>
          <w:spacing w:val="7"/>
        </w:rPr>
        <w:t xml:space="preserve"> </w:t>
      </w:r>
      <w:r w:rsidRPr="000B1046">
        <w:t>a</w:t>
      </w:r>
      <w:r w:rsidRPr="000B1046">
        <w:rPr>
          <w:spacing w:val="11"/>
        </w:rPr>
        <w:t xml:space="preserve"> </w:t>
      </w:r>
      <w:r w:rsidRPr="000B1046">
        <w:rPr>
          <w:spacing w:val="-2"/>
        </w:rPr>
        <w:t>year</w:t>
      </w:r>
      <w:r w:rsidRPr="000B1046">
        <w:rPr>
          <w:spacing w:val="6"/>
        </w:rPr>
        <w:t xml:space="preserve"> </w:t>
      </w:r>
      <w:r w:rsidRPr="000B1046">
        <w:t>of</w:t>
      </w:r>
      <w:r w:rsidRPr="000B1046">
        <w:rPr>
          <w:spacing w:val="8"/>
        </w:rPr>
        <w:t xml:space="preserve"> </w:t>
      </w:r>
      <w:r w:rsidRPr="000B1046">
        <w:t>that</w:t>
      </w:r>
      <w:r w:rsidRPr="000B1046">
        <w:rPr>
          <w:spacing w:val="6"/>
        </w:rPr>
        <w:t xml:space="preserve"> </w:t>
      </w:r>
      <w:r w:rsidRPr="000B1046">
        <w:t>person</w:t>
      </w:r>
      <w:r w:rsidRPr="000B1046">
        <w:rPr>
          <w:spacing w:val="6"/>
        </w:rPr>
        <w:t xml:space="preserve"> </w:t>
      </w:r>
      <w:r w:rsidRPr="000B1046">
        <w:t>ceasing</w:t>
      </w:r>
      <w:r w:rsidRPr="000B1046">
        <w:rPr>
          <w:spacing w:val="7"/>
        </w:rPr>
        <w:t xml:space="preserve"> </w:t>
      </w:r>
      <w:r w:rsidRPr="000B1046">
        <w:t>to</w:t>
      </w:r>
      <w:r w:rsidRPr="000B1046">
        <w:rPr>
          <w:spacing w:val="7"/>
        </w:rPr>
        <w:t xml:space="preserve"> </w:t>
      </w:r>
      <w:r w:rsidRPr="000B1046">
        <w:t>act</w:t>
      </w:r>
      <w:r w:rsidRPr="000B1046">
        <w:rPr>
          <w:spacing w:val="5"/>
        </w:rPr>
        <w:t xml:space="preserve"> </w:t>
      </w:r>
      <w:r w:rsidRPr="000B1046">
        <w:t>in</w:t>
      </w:r>
      <w:r w:rsidRPr="000B1046">
        <w:rPr>
          <w:spacing w:val="65"/>
        </w:rPr>
        <w:t xml:space="preserve"> </w:t>
      </w:r>
      <w:r w:rsidRPr="000B1046">
        <w:t>that</w:t>
      </w:r>
      <w:r w:rsidRPr="000B1046">
        <w:rPr>
          <w:spacing w:val="8"/>
        </w:rPr>
        <w:t xml:space="preserve"> </w:t>
      </w:r>
      <w:r w:rsidRPr="000B1046">
        <w:rPr>
          <w:spacing w:val="-2"/>
        </w:rPr>
        <w:t>capacity,</w:t>
      </w:r>
      <w:r w:rsidRPr="000B1046">
        <w:rPr>
          <w:spacing w:val="9"/>
        </w:rPr>
        <w:t xml:space="preserve"> </w:t>
      </w:r>
      <w:r w:rsidRPr="000B1046">
        <w:t>became</w:t>
      </w:r>
      <w:r w:rsidRPr="000B1046">
        <w:rPr>
          <w:spacing w:val="9"/>
        </w:rPr>
        <w:t xml:space="preserve"> </w:t>
      </w:r>
      <w:r w:rsidRPr="000B1046">
        <w:t>bankrupt,</w:t>
      </w:r>
      <w:r w:rsidRPr="000B1046">
        <w:rPr>
          <w:spacing w:val="9"/>
        </w:rPr>
        <w:t xml:space="preserve"> </w:t>
      </w:r>
      <w:r w:rsidRPr="000B1046">
        <w:t>made</w:t>
      </w:r>
      <w:r w:rsidRPr="000B1046">
        <w:rPr>
          <w:spacing w:val="9"/>
        </w:rPr>
        <w:t xml:space="preserve"> </w:t>
      </w:r>
      <w:r w:rsidRPr="000B1046">
        <w:t>a</w:t>
      </w:r>
      <w:r w:rsidRPr="000B1046">
        <w:rPr>
          <w:spacing w:val="7"/>
        </w:rPr>
        <w:t xml:space="preserve"> </w:t>
      </w:r>
      <w:r w:rsidRPr="000B1046">
        <w:t>proposal</w:t>
      </w:r>
      <w:r w:rsidRPr="000B1046">
        <w:rPr>
          <w:spacing w:val="6"/>
        </w:rPr>
        <w:t xml:space="preserve"> </w:t>
      </w:r>
      <w:r w:rsidRPr="000B1046">
        <w:t>under</w:t>
      </w:r>
      <w:r w:rsidRPr="000B1046">
        <w:rPr>
          <w:spacing w:val="3"/>
        </w:rPr>
        <w:t xml:space="preserve"> </w:t>
      </w:r>
      <w:r w:rsidRPr="000B1046">
        <w:t>any</w:t>
      </w:r>
      <w:r w:rsidRPr="000B1046">
        <w:rPr>
          <w:spacing w:val="4"/>
        </w:rPr>
        <w:t xml:space="preserve"> </w:t>
      </w:r>
      <w:r w:rsidRPr="000B1046">
        <w:t>legislation</w:t>
      </w:r>
      <w:r w:rsidRPr="000B1046">
        <w:rPr>
          <w:spacing w:val="9"/>
        </w:rPr>
        <w:t xml:space="preserve"> </w:t>
      </w:r>
      <w:r w:rsidRPr="000B1046">
        <w:t>relating</w:t>
      </w:r>
      <w:r w:rsidRPr="000B1046">
        <w:rPr>
          <w:spacing w:val="9"/>
        </w:rPr>
        <w:t xml:space="preserve"> </w:t>
      </w:r>
      <w:r w:rsidRPr="000B1046">
        <w:t>to</w:t>
      </w:r>
      <w:r w:rsidRPr="000B1046">
        <w:rPr>
          <w:spacing w:val="9"/>
        </w:rPr>
        <w:t xml:space="preserve"> </w:t>
      </w:r>
      <w:r w:rsidRPr="000B1046">
        <w:t>bankruptcy</w:t>
      </w:r>
      <w:r w:rsidRPr="000B1046">
        <w:rPr>
          <w:spacing w:val="65"/>
        </w:rPr>
        <w:t xml:space="preserve"> </w:t>
      </w:r>
      <w:r w:rsidRPr="000B1046">
        <w:t>or</w:t>
      </w:r>
      <w:r w:rsidRPr="000B1046">
        <w:rPr>
          <w:spacing w:val="27"/>
        </w:rPr>
        <w:t xml:space="preserve"> </w:t>
      </w:r>
      <w:r w:rsidRPr="000B1046">
        <w:t>insolvency</w:t>
      </w:r>
      <w:r w:rsidRPr="000B1046">
        <w:rPr>
          <w:spacing w:val="27"/>
        </w:rPr>
        <w:t xml:space="preserve"> </w:t>
      </w:r>
      <w:r w:rsidRPr="000B1046">
        <w:t>or</w:t>
      </w:r>
      <w:r w:rsidRPr="000B1046">
        <w:rPr>
          <w:spacing w:val="27"/>
        </w:rPr>
        <w:t xml:space="preserve"> </w:t>
      </w:r>
      <w:r w:rsidRPr="000B1046">
        <w:t>was</w:t>
      </w:r>
      <w:r w:rsidRPr="000B1046">
        <w:rPr>
          <w:spacing w:val="28"/>
        </w:rPr>
        <w:t xml:space="preserve"> </w:t>
      </w:r>
      <w:r w:rsidRPr="000B1046">
        <w:t>subject</w:t>
      </w:r>
      <w:r w:rsidRPr="000B1046">
        <w:rPr>
          <w:spacing w:val="27"/>
        </w:rPr>
        <w:t xml:space="preserve"> </w:t>
      </w:r>
      <w:r w:rsidRPr="000B1046">
        <w:t>to</w:t>
      </w:r>
      <w:r w:rsidRPr="000B1046">
        <w:rPr>
          <w:spacing w:val="29"/>
        </w:rPr>
        <w:t xml:space="preserve"> </w:t>
      </w:r>
      <w:r w:rsidRPr="000B1046">
        <w:t>or</w:t>
      </w:r>
      <w:r w:rsidRPr="000B1046">
        <w:rPr>
          <w:spacing w:val="27"/>
        </w:rPr>
        <w:t xml:space="preserve"> </w:t>
      </w:r>
      <w:r w:rsidRPr="000B1046">
        <w:t>instituted</w:t>
      </w:r>
      <w:r w:rsidRPr="000B1046">
        <w:rPr>
          <w:spacing w:val="29"/>
        </w:rPr>
        <w:t xml:space="preserve"> </w:t>
      </w:r>
      <w:r w:rsidRPr="000B1046">
        <w:t>any</w:t>
      </w:r>
      <w:r w:rsidRPr="000B1046">
        <w:rPr>
          <w:spacing w:val="26"/>
        </w:rPr>
        <w:t xml:space="preserve"> </w:t>
      </w:r>
      <w:r w:rsidRPr="000B1046">
        <w:t>proceedings,</w:t>
      </w:r>
      <w:r w:rsidRPr="000B1046">
        <w:rPr>
          <w:spacing w:val="28"/>
        </w:rPr>
        <w:t xml:space="preserve"> </w:t>
      </w:r>
      <w:r w:rsidRPr="000B1046">
        <w:t>arrangement</w:t>
      </w:r>
      <w:r w:rsidRPr="000B1046">
        <w:rPr>
          <w:spacing w:val="27"/>
        </w:rPr>
        <w:t xml:space="preserve"> </w:t>
      </w:r>
      <w:r w:rsidRPr="000B1046">
        <w:t>or</w:t>
      </w:r>
      <w:r w:rsidRPr="000B1046">
        <w:rPr>
          <w:spacing w:val="28"/>
        </w:rPr>
        <w:t xml:space="preserve"> </w:t>
      </w:r>
      <w:r w:rsidRPr="000B1046">
        <w:t>compromise</w:t>
      </w:r>
      <w:r w:rsidRPr="000B1046">
        <w:rPr>
          <w:spacing w:val="69"/>
        </w:rPr>
        <w:t xml:space="preserve"> </w:t>
      </w:r>
      <w:r w:rsidRPr="000B1046">
        <w:rPr>
          <w:spacing w:val="-2"/>
        </w:rPr>
        <w:t>with</w:t>
      </w:r>
      <w:r w:rsidRPr="000B1046">
        <w:t xml:space="preserve"> creditors or had a receiver, receiver manager or trustee appointed to</w:t>
      </w:r>
      <w:r w:rsidRPr="000B1046">
        <w:rPr>
          <w:spacing w:val="-3"/>
        </w:rPr>
        <w:t xml:space="preserve"> </w:t>
      </w:r>
      <w:r w:rsidRPr="000B1046">
        <w:t xml:space="preserve">hold </w:t>
      </w:r>
      <w:r w:rsidRPr="000B1046">
        <w:rPr>
          <w:spacing w:val="-2"/>
        </w:rPr>
        <w:t>its</w:t>
      </w:r>
      <w:r w:rsidRPr="000B1046">
        <w:t xml:space="preserve"> assets;</w:t>
      </w:r>
      <w:r w:rsidRPr="000B1046">
        <w:rPr>
          <w:spacing w:val="-2"/>
        </w:rPr>
        <w:t xml:space="preserve"> </w:t>
      </w:r>
      <w:r w:rsidRPr="000B1046">
        <w:t>or</w:t>
      </w:r>
    </w:p>
    <w:p w14:paraId="3D2D532E" w14:textId="77777777" w:rsidR="009633AC" w:rsidRPr="00DD6027" w:rsidRDefault="009633AC" w:rsidP="009633AC">
      <w:pPr>
        <w:pStyle w:val="ProspectusL5"/>
      </w:pPr>
      <w:r w:rsidRPr="00DD6027">
        <w:lastRenderedPageBreak/>
        <w:t>has,</w:t>
      </w:r>
      <w:r w:rsidRPr="00DD6027">
        <w:rPr>
          <w:spacing w:val="2"/>
        </w:rPr>
        <w:t xml:space="preserve"> </w:t>
      </w:r>
      <w:r w:rsidRPr="00DD6027">
        <w:rPr>
          <w:spacing w:val="-2"/>
        </w:rPr>
        <w:t>within</w:t>
      </w:r>
      <w:r w:rsidRPr="00DD6027">
        <w:rPr>
          <w:spacing w:val="2"/>
        </w:rPr>
        <w:t xml:space="preserve"> </w:t>
      </w:r>
      <w:r w:rsidRPr="00DD6027">
        <w:t>the</w:t>
      </w:r>
      <w:r w:rsidRPr="00DD6027">
        <w:rPr>
          <w:spacing w:val="2"/>
        </w:rPr>
        <w:t xml:space="preserve"> </w:t>
      </w:r>
      <w:r w:rsidRPr="00DD6027">
        <w:t>10</w:t>
      </w:r>
      <w:r w:rsidRPr="00DD6027">
        <w:rPr>
          <w:spacing w:val="4"/>
        </w:rPr>
        <w:t xml:space="preserve"> </w:t>
      </w:r>
      <w:r w:rsidRPr="00DD6027">
        <w:rPr>
          <w:spacing w:val="-2"/>
        </w:rPr>
        <w:t>years</w:t>
      </w:r>
      <w:r w:rsidRPr="00DD6027">
        <w:rPr>
          <w:spacing w:val="2"/>
        </w:rPr>
        <w:t xml:space="preserve"> </w:t>
      </w:r>
      <w:r w:rsidRPr="00DD6027">
        <w:t>before</w:t>
      </w:r>
      <w:r w:rsidRPr="00DD6027">
        <w:rPr>
          <w:spacing w:val="2"/>
        </w:rPr>
        <w:t xml:space="preserve"> </w:t>
      </w:r>
      <w:r w:rsidRPr="00DD6027">
        <w:t>the</w:t>
      </w:r>
      <w:r w:rsidRPr="00DD6027">
        <w:rPr>
          <w:spacing w:val="2"/>
        </w:rPr>
        <w:t xml:space="preserve"> </w:t>
      </w:r>
      <w:r w:rsidRPr="00DD6027">
        <w:t>date</w:t>
      </w:r>
      <w:r w:rsidRPr="00DD6027">
        <w:rPr>
          <w:spacing w:val="2"/>
        </w:rPr>
        <w:t xml:space="preserve"> </w:t>
      </w:r>
      <w:r w:rsidRPr="00DD6027">
        <w:t>of</w:t>
      </w:r>
      <w:r w:rsidRPr="00DD6027">
        <w:rPr>
          <w:spacing w:val="1"/>
        </w:rPr>
        <w:t xml:space="preserve"> </w:t>
      </w:r>
      <w:r w:rsidRPr="00DD6027">
        <w:t>this</w:t>
      </w:r>
      <w:r w:rsidRPr="00DD6027">
        <w:rPr>
          <w:spacing w:val="2"/>
        </w:rPr>
        <w:t xml:space="preserve"> </w:t>
      </w:r>
      <w:r w:rsidRPr="00DD6027">
        <w:t>AIF,</w:t>
      </w:r>
      <w:r w:rsidRPr="00DD6027">
        <w:rPr>
          <w:spacing w:val="2"/>
        </w:rPr>
        <w:t xml:space="preserve"> </w:t>
      </w:r>
      <w:r w:rsidRPr="00DD6027">
        <w:t>become</w:t>
      </w:r>
      <w:r w:rsidRPr="00DD6027">
        <w:rPr>
          <w:spacing w:val="2"/>
        </w:rPr>
        <w:t xml:space="preserve"> </w:t>
      </w:r>
      <w:r w:rsidRPr="00DD6027">
        <w:t>bankrupt,</w:t>
      </w:r>
      <w:r w:rsidRPr="00DD6027">
        <w:rPr>
          <w:spacing w:val="2"/>
        </w:rPr>
        <w:t xml:space="preserve"> </w:t>
      </w:r>
      <w:r w:rsidRPr="00DD6027">
        <w:t>made</w:t>
      </w:r>
      <w:r w:rsidRPr="00DD6027">
        <w:rPr>
          <w:spacing w:val="2"/>
        </w:rPr>
        <w:t xml:space="preserve"> </w:t>
      </w:r>
      <w:r w:rsidRPr="00DD6027">
        <w:t>a</w:t>
      </w:r>
      <w:r w:rsidRPr="00DD6027">
        <w:rPr>
          <w:spacing w:val="2"/>
        </w:rPr>
        <w:t xml:space="preserve"> </w:t>
      </w:r>
      <w:r w:rsidRPr="00DD6027">
        <w:t>proposal</w:t>
      </w:r>
      <w:r w:rsidRPr="00DD6027">
        <w:rPr>
          <w:spacing w:val="69"/>
        </w:rPr>
        <w:t xml:space="preserve"> </w:t>
      </w:r>
      <w:r w:rsidRPr="00DD6027">
        <w:t>under</w:t>
      </w:r>
      <w:r w:rsidRPr="00DD6027">
        <w:rPr>
          <w:spacing w:val="11"/>
        </w:rPr>
        <w:t xml:space="preserve"> </w:t>
      </w:r>
      <w:r w:rsidRPr="00DD6027">
        <w:t>any</w:t>
      </w:r>
      <w:r w:rsidRPr="00DD6027">
        <w:rPr>
          <w:spacing w:val="7"/>
        </w:rPr>
        <w:t xml:space="preserve"> </w:t>
      </w:r>
      <w:r w:rsidRPr="00DD6027">
        <w:t>legislation</w:t>
      </w:r>
      <w:r w:rsidRPr="00DD6027">
        <w:rPr>
          <w:spacing w:val="12"/>
        </w:rPr>
        <w:t xml:space="preserve"> </w:t>
      </w:r>
      <w:r w:rsidRPr="00DD6027">
        <w:t>relating</w:t>
      </w:r>
      <w:r w:rsidRPr="00DD6027">
        <w:rPr>
          <w:spacing w:val="12"/>
        </w:rPr>
        <w:t xml:space="preserve"> </w:t>
      </w:r>
      <w:r w:rsidRPr="00DD6027">
        <w:t>to</w:t>
      </w:r>
      <w:r w:rsidRPr="00DD6027">
        <w:rPr>
          <w:spacing w:val="12"/>
        </w:rPr>
        <w:t xml:space="preserve"> </w:t>
      </w:r>
      <w:r w:rsidRPr="00DD6027">
        <w:t>bankruptcy</w:t>
      </w:r>
      <w:r w:rsidRPr="00DD6027">
        <w:rPr>
          <w:spacing w:val="7"/>
        </w:rPr>
        <w:t xml:space="preserve"> </w:t>
      </w:r>
      <w:r w:rsidRPr="00DD6027">
        <w:t>or</w:t>
      </w:r>
      <w:r w:rsidRPr="00DD6027">
        <w:rPr>
          <w:spacing w:val="11"/>
        </w:rPr>
        <w:t xml:space="preserve"> </w:t>
      </w:r>
      <w:r w:rsidRPr="00DD6027">
        <w:t>insolvency,</w:t>
      </w:r>
      <w:r w:rsidRPr="00DD6027">
        <w:rPr>
          <w:spacing w:val="12"/>
        </w:rPr>
        <w:t xml:space="preserve"> </w:t>
      </w:r>
      <w:r w:rsidRPr="00DD6027">
        <w:t>or</w:t>
      </w:r>
      <w:r w:rsidRPr="00DD6027">
        <w:rPr>
          <w:spacing w:val="11"/>
        </w:rPr>
        <w:t xml:space="preserve"> </w:t>
      </w:r>
      <w:r w:rsidRPr="00DD6027">
        <w:t>become</w:t>
      </w:r>
      <w:r w:rsidRPr="00DD6027">
        <w:rPr>
          <w:spacing w:val="11"/>
        </w:rPr>
        <w:t xml:space="preserve"> </w:t>
      </w:r>
      <w:r w:rsidRPr="00DD6027">
        <w:t>subject</w:t>
      </w:r>
      <w:r w:rsidRPr="00DD6027">
        <w:rPr>
          <w:spacing w:val="10"/>
        </w:rPr>
        <w:t xml:space="preserve"> </w:t>
      </w:r>
      <w:r w:rsidRPr="00DD6027">
        <w:t>to</w:t>
      </w:r>
      <w:r w:rsidRPr="00DD6027">
        <w:rPr>
          <w:spacing w:val="12"/>
        </w:rPr>
        <w:t xml:space="preserve"> </w:t>
      </w:r>
      <w:r w:rsidRPr="00DD6027">
        <w:t>or</w:t>
      </w:r>
      <w:r w:rsidRPr="00DD6027">
        <w:rPr>
          <w:spacing w:val="11"/>
        </w:rPr>
        <w:t xml:space="preserve"> </w:t>
      </w:r>
      <w:r w:rsidRPr="00DD6027">
        <w:rPr>
          <w:spacing w:val="-2"/>
        </w:rPr>
        <w:t>instituted</w:t>
      </w:r>
      <w:r w:rsidRPr="00DD6027">
        <w:rPr>
          <w:spacing w:val="55"/>
        </w:rPr>
        <w:t xml:space="preserve"> </w:t>
      </w:r>
      <w:r w:rsidRPr="00DD6027">
        <w:t>any</w:t>
      </w:r>
      <w:r w:rsidRPr="00DD6027">
        <w:rPr>
          <w:spacing w:val="47"/>
        </w:rPr>
        <w:t xml:space="preserve"> </w:t>
      </w:r>
      <w:r w:rsidRPr="00DD6027">
        <w:t>proceedings,</w:t>
      </w:r>
      <w:r w:rsidRPr="00DD6027">
        <w:rPr>
          <w:spacing w:val="52"/>
        </w:rPr>
        <w:t xml:space="preserve"> </w:t>
      </w:r>
      <w:r w:rsidRPr="00DD6027">
        <w:t>arrangement</w:t>
      </w:r>
      <w:r w:rsidRPr="00DD6027">
        <w:rPr>
          <w:spacing w:val="51"/>
        </w:rPr>
        <w:t xml:space="preserve"> </w:t>
      </w:r>
      <w:r w:rsidRPr="00DD6027">
        <w:t>or</w:t>
      </w:r>
      <w:r w:rsidRPr="00DD6027">
        <w:rPr>
          <w:spacing w:val="52"/>
        </w:rPr>
        <w:t xml:space="preserve"> </w:t>
      </w:r>
      <w:r w:rsidRPr="00DD6027">
        <w:rPr>
          <w:spacing w:val="-2"/>
        </w:rPr>
        <w:t>compromise</w:t>
      </w:r>
      <w:r w:rsidRPr="00DD6027">
        <w:rPr>
          <w:spacing w:val="51"/>
        </w:rPr>
        <w:t xml:space="preserve"> </w:t>
      </w:r>
      <w:r w:rsidRPr="00DD6027">
        <w:rPr>
          <w:spacing w:val="-2"/>
        </w:rPr>
        <w:t>with</w:t>
      </w:r>
      <w:r w:rsidRPr="00DD6027">
        <w:t xml:space="preserve"> creditors,</w:t>
      </w:r>
      <w:r w:rsidRPr="00DD6027">
        <w:rPr>
          <w:spacing w:val="52"/>
        </w:rPr>
        <w:t xml:space="preserve"> </w:t>
      </w:r>
      <w:r w:rsidRPr="00DD6027">
        <w:t>or</w:t>
      </w:r>
      <w:r w:rsidRPr="00DD6027">
        <w:rPr>
          <w:spacing w:val="51"/>
        </w:rPr>
        <w:t xml:space="preserve"> </w:t>
      </w:r>
      <w:r w:rsidRPr="00DD6027">
        <w:t>had a</w:t>
      </w:r>
      <w:r w:rsidRPr="00DD6027">
        <w:rPr>
          <w:spacing w:val="50"/>
        </w:rPr>
        <w:t xml:space="preserve"> </w:t>
      </w:r>
      <w:r w:rsidRPr="00DD6027">
        <w:t>receiver, receiver</w:t>
      </w:r>
      <w:r w:rsidRPr="00DD6027">
        <w:rPr>
          <w:spacing w:val="67"/>
        </w:rPr>
        <w:t xml:space="preserve"> </w:t>
      </w:r>
      <w:r w:rsidRPr="00DD6027">
        <w:t>manager or trustee appointed</w:t>
      </w:r>
      <w:r w:rsidRPr="00DD6027">
        <w:rPr>
          <w:spacing w:val="-3"/>
        </w:rPr>
        <w:t xml:space="preserve"> </w:t>
      </w:r>
      <w:r w:rsidRPr="00DD6027">
        <w:t>to hold the assets of the</w:t>
      </w:r>
      <w:r w:rsidRPr="00DD6027">
        <w:rPr>
          <w:spacing w:val="-3"/>
        </w:rPr>
        <w:t xml:space="preserve"> </w:t>
      </w:r>
      <w:r w:rsidRPr="00DD6027">
        <w:t>director</w:t>
      </w:r>
      <w:r>
        <w:t>, executive officer or shareholder</w:t>
      </w:r>
      <w:r w:rsidRPr="00DD6027">
        <w:t>; or</w:t>
      </w:r>
    </w:p>
    <w:p w14:paraId="0EDCD7B1" w14:textId="77777777" w:rsidR="009633AC" w:rsidRPr="00DD6027" w:rsidRDefault="009633AC" w:rsidP="009633AC">
      <w:pPr>
        <w:pStyle w:val="ProspectusL5"/>
      </w:pPr>
      <w:r w:rsidRPr="00DD6027">
        <w:t>has</w:t>
      </w:r>
      <w:r w:rsidRPr="00DD6027">
        <w:rPr>
          <w:spacing w:val="49"/>
        </w:rPr>
        <w:t xml:space="preserve"> </w:t>
      </w:r>
      <w:r w:rsidRPr="00DD6027">
        <w:t>been</w:t>
      </w:r>
      <w:r w:rsidRPr="00DD6027">
        <w:rPr>
          <w:spacing w:val="48"/>
        </w:rPr>
        <w:t xml:space="preserve"> </w:t>
      </w:r>
      <w:r w:rsidRPr="00DD6027">
        <w:t>subject</w:t>
      </w:r>
      <w:r w:rsidRPr="00DD6027">
        <w:rPr>
          <w:spacing w:val="48"/>
        </w:rPr>
        <w:t xml:space="preserve"> </w:t>
      </w:r>
      <w:r w:rsidRPr="00DD6027">
        <w:t>to</w:t>
      </w:r>
      <w:r w:rsidRPr="00DD6027">
        <w:rPr>
          <w:spacing w:val="48"/>
        </w:rPr>
        <w:t xml:space="preserve"> </w:t>
      </w:r>
      <w:r w:rsidRPr="00DD6027">
        <w:t>any</w:t>
      </w:r>
      <w:r w:rsidRPr="00DD6027">
        <w:rPr>
          <w:spacing w:val="45"/>
        </w:rPr>
        <w:t xml:space="preserve"> </w:t>
      </w:r>
      <w:r w:rsidRPr="00DD6027">
        <w:t>penalties</w:t>
      </w:r>
      <w:r w:rsidRPr="00DD6027">
        <w:rPr>
          <w:spacing w:val="50"/>
        </w:rPr>
        <w:t xml:space="preserve"> </w:t>
      </w:r>
      <w:r w:rsidRPr="00DD6027">
        <w:t>or</w:t>
      </w:r>
      <w:r w:rsidRPr="00DD6027">
        <w:rPr>
          <w:spacing w:val="49"/>
        </w:rPr>
        <w:t xml:space="preserve"> </w:t>
      </w:r>
      <w:r w:rsidRPr="00DD6027">
        <w:t>sanctions</w:t>
      </w:r>
      <w:r w:rsidRPr="00DD6027">
        <w:rPr>
          <w:spacing w:val="50"/>
        </w:rPr>
        <w:t xml:space="preserve"> </w:t>
      </w:r>
      <w:r w:rsidRPr="00DD6027">
        <w:t>imposed</w:t>
      </w:r>
      <w:r w:rsidRPr="00DD6027">
        <w:rPr>
          <w:spacing w:val="50"/>
        </w:rPr>
        <w:t xml:space="preserve"> </w:t>
      </w:r>
      <w:r w:rsidRPr="00DD6027">
        <w:t>by</w:t>
      </w:r>
      <w:r w:rsidRPr="00DD6027">
        <w:rPr>
          <w:spacing w:val="46"/>
        </w:rPr>
        <w:t xml:space="preserve"> </w:t>
      </w:r>
      <w:r w:rsidRPr="00DD6027">
        <w:t>a</w:t>
      </w:r>
      <w:r w:rsidRPr="00DD6027">
        <w:rPr>
          <w:spacing w:val="49"/>
        </w:rPr>
        <w:t xml:space="preserve"> </w:t>
      </w:r>
      <w:r w:rsidRPr="00DD6027">
        <w:t>court</w:t>
      </w:r>
      <w:r w:rsidRPr="00DD6027">
        <w:rPr>
          <w:spacing w:val="50"/>
        </w:rPr>
        <w:t xml:space="preserve"> </w:t>
      </w:r>
      <w:r w:rsidRPr="00DD6027">
        <w:t>relating</w:t>
      </w:r>
      <w:r w:rsidRPr="00DD6027">
        <w:rPr>
          <w:spacing w:val="50"/>
        </w:rPr>
        <w:t xml:space="preserve"> </w:t>
      </w:r>
      <w:r w:rsidRPr="00DD6027">
        <w:t>to</w:t>
      </w:r>
      <w:r w:rsidRPr="00DD6027">
        <w:rPr>
          <w:spacing w:val="51"/>
        </w:rPr>
        <w:t xml:space="preserve"> </w:t>
      </w:r>
      <w:r w:rsidRPr="00DD6027">
        <w:rPr>
          <w:spacing w:val="-2"/>
        </w:rPr>
        <w:t>securities</w:t>
      </w:r>
      <w:r w:rsidRPr="00DD6027">
        <w:rPr>
          <w:spacing w:val="55"/>
        </w:rPr>
        <w:t xml:space="preserve"> </w:t>
      </w:r>
      <w:r w:rsidRPr="00DD6027">
        <w:t>legislation</w:t>
      </w:r>
      <w:r w:rsidRPr="00DD6027">
        <w:rPr>
          <w:spacing w:val="19"/>
        </w:rPr>
        <w:t xml:space="preserve"> </w:t>
      </w:r>
      <w:r w:rsidRPr="00DD6027">
        <w:t>or</w:t>
      </w:r>
      <w:r w:rsidRPr="00DD6027">
        <w:rPr>
          <w:spacing w:val="18"/>
        </w:rPr>
        <w:t xml:space="preserve"> </w:t>
      </w:r>
      <w:r w:rsidRPr="00DD6027">
        <w:t>by</w:t>
      </w:r>
      <w:r w:rsidRPr="00DD6027">
        <w:rPr>
          <w:spacing w:val="14"/>
        </w:rPr>
        <w:t xml:space="preserve"> </w:t>
      </w:r>
      <w:r w:rsidRPr="00DD6027">
        <w:t>a</w:t>
      </w:r>
      <w:r w:rsidRPr="00DD6027">
        <w:rPr>
          <w:spacing w:val="19"/>
        </w:rPr>
        <w:t xml:space="preserve"> </w:t>
      </w:r>
      <w:r w:rsidRPr="00DD6027">
        <w:t>securities</w:t>
      </w:r>
      <w:r w:rsidRPr="00DD6027">
        <w:rPr>
          <w:spacing w:val="20"/>
        </w:rPr>
        <w:t xml:space="preserve"> </w:t>
      </w:r>
      <w:r w:rsidRPr="00DD6027">
        <w:t>regulatory</w:t>
      </w:r>
      <w:r w:rsidRPr="00DD6027">
        <w:rPr>
          <w:spacing w:val="14"/>
        </w:rPr>
        <w:t xml:space="preserve"> </w:t>
      </w:r>
      <w:r w:rsidRPr="00DD6027">
        <w:t>authority</w:t>
      </w:r>
      <w:r w:rsidRPr="00DD6027">
        <w:rPr>
          <w:spacing w:val="14"/>
        </w:rPr>
        <w:t xml:space="preserve"> </w:t>
      </w:r>
      <w:r w:rsidRPr="00DD6027">
        <w:t>or</w:t>
      </w:r>
      <w:r w:rsidRPr="00DD6027">
        <w:rPr>
          <w:spacing w:val="18"/>
        </w:rPr>
        <w:t xml:space="preserve"> </w:t>
      </w:r>
      <w:r w:rsidRPr="00DD6027">
        <w:t>has</w:t>
      </w:r>
      <w:r w:rsidRPr="00DD6027">
        <w:rPr>
          <w:spacing w:val="18"/>
        </w:rPr>
        <w:t xml:space="preserve"> </w:t>
      </w:r>
      <w:r w:rsidRPr="00DD6027">
        <w:t>entered</w:t>
      </w:r>
      <w:r w:rsidRPr="00DD6027">
        <w:rPr>
          <w:spacing w:val="19"/>
        </w:rPr>
        <w:t xml:space="preserve"> </w:t>
      </w:r>
      <w:r w:rsidRPr="00DD6027">
        <w:t>into</w:t>
      </w:r>
      <w:r w:rsidRPr="00DD6027">
        <w:rPr>
          <w:spacing w:val="19"/>
        </w:rPr>
        <w:t xml:space="preserve"> </w:t>
      </w:r>
      <w:r w:rsidRPr="00DD6027">
        <w:t>a</w:t>
      </w:r>
      <w:r w:rsidRPr="00DD6027">
        <w:rPr>
          <w:spacing w:val="16"/>
        </w:rPr>
        <w:t xml:space="preserve"> </w:t>
      </w:r>
      <w:r w:rsidRPr="00DD6027">
        <w:rPr>
          <w:spacing w:val="-2"/>
        </w:rPr>
        <w:t>settlement</w:t>
      </w:r>
      <w:r w:rsidRPr="00DD6027">
        <w:rPr>
          <w:spacing w:val="18"/>
        </w:rPr>
        <w:t xml:space="preserve"> </w:t>
      </w:r>
      <w:r w:rsidRPr="00DD6027">
        <w:t>agreement</w:t>
      </w:r>
      <w:r w:rsidRPr="00DD6027">
        <w:rPr>
          <w:spacing w:val="59"/>
        </w:rPr>
        <w:t xml:space="preserve"> </w:t>
      </w:r>
      <w:r w:rsidRPr="00DD6027">
        <w:rPr>
          <w:spacing w:val="-2"/>
        </w:rPr>
        <w:t>with</w:t>
      </w:r>
      <w:r w:rsidRPr="00DD6027">
        <w:t xml:space="preserve"> a securities regulatory</w:t>
      </w:r>
      <w:r w:rsidRPr="00DD6027">
        <w:rPr>
          <w:spacing w:val="-5"/>
        </w:rPr>
        <w:t xml:space="preserve"> </w:t>
      </w:r>
      <w:r w:rsidRPr="00DD6027">
        <w:t>authority; or</w:t>
      </w:r>
    </w:p>
    <w:p w14:paraId="494B5BD2" w14:textId="77777777" w:rsidR="009633AC" w:rsidRDefault="009633AC" w:rsidP="009633AC">
      <w:pPr>
        <w:pStyle w:val="ProspectusL5"/>
      </w:pPr>
      <w:r w:rsidRPr="00DD6027">
        <w:t>has</w:t>
      </w:r>
      <w:r w:rsidRPr="00DD6027">
        <w:rPr>
          <w:spacing w:val="30"/>
        </w:rPr>
        <w:t xml:space="preserve"> </w:t>
      </w:r>
      <w:r w:rsidRPr="00DD6027">
        <w:t>been</w:t>
      </w:r>
      <w:r w:rsidRPr="00DD6027">
        <w:rPr>
          <w:spacing w:val="31"/>
        </w:rPr>
        <w:t xml:space="preserve"> </w:t>
      </w:r>
      <w:r w:rsidRPr="00DD6027">
        <w:t>subject</w:t>
      </w:r>
      <w:r w:rsidRPr="00DD6027">
        <w:rPr>
          <w:spacing w:val="29"/>
        </w:rPr>
        <w:t xml:space="preserve"> </w:t>
      </w:r>
      <w:r w:rsidRPr="00DD6027">
        <w:t>to</w:t>
      </w:r>
      <w:r w:rsidRPr="00DD6027">
        <w:rPr>
          <w:spacing w:val="31"/>
        </w:rPr>
        <w:t xml:space="preserve"> </w:t>
      </w:r>
      <w:r w:rsidRPr="00DD6027">
        <w:t>any</w:t>
      </w:r>
      <w:r w:rsidRPr="00DD6027">
        <w:rPr>
          <w:spacing w:val="25"/>
        </w:rPr>
        <w:t xml:space="preserve"> </w:t>
      </w:r>
      <w:r w:rsidRPr="00DD6027">
        <w:t>penalties</w:t>
      </w:r>
      <w:r w:rsidRPr="00DD6027">
        <w:rPr>
          <w:spacing w:val="31"/>
        </w:rPr>
        <w:t xml:space="preserve"> </w:t>
      </w:r>
      <w:r w:rsidRPr="00DD6027">
        <w:t>or</w:t>
      </w:r>
      <w:r w:rsidRPr="00DD6027">
        <w:rPr>
          <w:spacing w:val="30"/>
        </w:rPr>
        <w:t xml:space="preserve"> </w:t>
      </w:r>
      <w:r w:rsidRPr="00DD6027">
        <w:t>sanctions</w:t>
      </w:r>
      <w:r w:rsidRPr="00DD6027">
        <w:rPr>
          <w:spacing w:val="31"/>
        </w:rPr>
        <w:t xml:space="preserve"> </w:t>
      </w:r>
      <w:r w:rsidRPr="00DD6027">
        <w:t>imposed</w:t>
      </w:r>
      <w:r w:rsidRPr="00DD6027">
        <w:rPr>
          <w:spacing w:val="30"/>
        </w:rPr>
        <w:t xml:space="preserve"> </w:t>
      </w:r>
      <w:r w:rsidRPr="00DD6027">
        <w:t>by</w:t>
      </w:r>
      <w:r w:rsidRPr="00DD6027">
        <w:rPr>
          <w:spacing w:val="27"/>
        </w:rPr>
        <w:t xml:space="preserve"> </w:t>
      </w:r>
      <w:r w:rsidRPr="00DD6027">
        <w:t>a</w:t>
      </w:r>
      <w:r w:rsidRPr="00DD6027">
        <w:rPr>
          <w:spacing w:val="30"/>
        </w:rPr>
        <w:t xml:space="preserve"> </w:t>
      </w:r>
      <w:r w:rsidRPr="00DD6027">
        <w:t>court</w:t>
      </w:r>
      <w:r w:rsidRPr="00DD6027">
        <w:rPr>
          <w:spacing w:val="30"/>
        </w:rPr>
        <w:t xml:space="preserve"> </w:t>
      </w:r>
      <w:r w:rsidRPr="00DD6027">
        <w:t>or</w:t>
      </w:r>
      <w:r w:rsidRPr="00DD6027">
        <w:rPr>
          <w:spacing w:val="30"/>
        </w:rPr>
        <w:t xml:space="preserve"> </w:t>
      </w:r>
      <w:r w:rsidRPr="00DD6027">
        <w:t>regulatory</w:t>
      </w:r>
      <w:r w:rsidRPr="00DD6027">
        <w:rPr>
          <w:spacing w:val="29"/>
        </w:rPr>
        <w:t xml:space="preserve"> </w:t>
      </w:r>
      <w:r w:rsidRPr="00DD6027">
        <w:t>body</w:t>
      </w:r>
      <w:r w:rsidRPr="00DD6027">
        <w:rPr>
          <w:spacing w:val="26"/>
        </w:rPr>
        <w:t xml:space="preserve"> </w:t>
      </w:r>
      <w:r w:rsidRPr="00DD6027">
        <w:t>that</w:t>
      </w:r>
      <w:r w:rsidRPr="00DD6027">
        <w:rPr>
          <w:spacing w:val="57"/>
        </w:rPr>
        <w:t xml:space="preserve"> </w:t>
      </w:r>
      <w:r w:rsidRPr="00DD6027">
        <w:t>would</w:t>
      </w:r>
      <w:r w:rsidRPr="00DD6027">
        <w:rPr>
          <w:spacing w:val="24"/>
        </w:rPr>
        <w:t xml:space="preserve"> </w:t>
      </w:r>
      <w:r w:rsidRPr="00DD6027">
        <w:t>likely</w:t>
      </w:r>
      <w:r w:rsidRPr="00DD6027">
        <w:rPr>
          <w:spacing w:val="19"/>
        </w:rPr>
        <w:t xml:space="preserve"> </w:t>
      </w:r>
      <w:r w:rsidRPr="00DD6027">
        <w:t>be</w:t>
      </w:r>
      <w:r w:rsidRPr="00DD6027">
        <w:rPr>
          <w:spacing w:val="23"/>
        </w:rPr>
        <w:t xml:space="preserve"> </w:t>
      </w:r>
      <w:r w:rsidRPr="00DD6027">
        <w:t>considered</w:t>
      </w:r>
      <w:r w:rsidRPr="00DD6027">
        <w:rPr>
          <w:spacing w:val="19"/>
        </w:rPr>
        <w:t xml:space="preserve"> </w:t>
      </w:r>
      <w:r w:rsidRPr="00DD6027">
        <w:t>important</w:t>
      </w:r>
      <w:r w:rsidRPr="00DD6027">
        <w:rPr>
          <w:spacing w:val="22"/>
        </w:rPr>
        <w:t xml:space="preserve"> </w:t>
      </w:r>
      <w:r w:rsidRPr="00DD6027">
        <w:t>to</w:t>
      </w:r>
      <w:r w:rsidRPr="00DD6027">
        <w:rPr>
          <w:spacing w:val="24"/>
        </w:rPr>
        <w:t xml:space="preserve"> </w:t>
      </w:r>
      <w:r w:rsidRPr="00DD6027">
        <w:t>a</w:t>
      </w:r>
      <w:r w:rsidRPr="00DD6027">
        <w:rPr>
          <w:spacing w:val="23"/>
        </w:rPr>
        <w:t xml:space="preserve"> </w:t>
      </w:r>
      <w:r w:rsidRPr="00DD6027">
        <w:t>reasonable</w:t>
      </w:r>
      <w:r w:rsidRPr="00DD6027">
        <w:rPr>
          <w:spacing w:val="23"/>
        </w:rPr>
        <w:t xml:space="preserve"> </w:t>
      </w:r>
      <w:r>
        <w:t>investor</w:t>
      </w:r>
      <w:r w:rsidRPr="00DD6027">
        <w:rPr>
          <w:spacing w:val="23"/>
        </w:rPr>
        <w:t xml:space="preserve"> </w:t>
      </w:r>
      <w:r w:rsidRPr="00DD6027">
        <w:t>in</w:t>
      </w:r>
      <w:r w:rsidRPr="00DD6027">
        <w:rPr>
          <w:spacing w:val="24"/>
        </w:rPr>
        <w:t xml:space="preserve"> </w:t>
      </w:r>
      <w:r>
        <w:t>making an investment decision</w:t>
      </w:r>
      <w:r w:rsidRPr="00DD6027">
        <w:t>.</w:t>
      </w:r>
    </w:p>
    <w:p w14:paraId="6B0E5BCE" w14:textId="77777777" w:rsidR="009633AC" w:rsidRDefault="009633AC" w:rsidP="009633AC">
      <w:pPr>
        <w:pStyle w:val="ProspectusCont2"/>
      </w:pPr>
      <w:r w:rsidRPr="00503E11">
        <w:t xml:space="preserve">Joan Plant was an officer of Arctic Mining Ltd (United </w:t>
      </w:r>
      <w:r w:rsidRPr="008F7866">
        <w:t>Kingdom) ("Arctic Mining") and a director of Angel Mining (Gold) A/S ("Angel Mining Subco") during the restructuring process of Angel Mining Subco and its affiliates initiated in 2014. As a result of such restructuring, Arctic Mining went into creditors' voluntary liquidation on December 17, 2014 pursuant to the Insolvency Act 1986 (United Kingdom) and</w:t>
      </w:r>
      <w:r w:rsidRPr="00503E11">
        <w:t xml:space="preserve"> Angel Mining Subco filed a petition for bankruptcy in 2015 pursuant to the Bankruptcy Act (Denmark).</w:t>
      </w:r>
    </w:p>
    <w:p w14:paraId="20E4E9D8" w14:textId="77777777" w:rsidR="009633AC" w:rsidRPr="00150250" w:rsidRDefault="009633AC" w:rsidP="009633AC">
      <w:pPr>
        <w:pStyle w:val="ProspectusCont2"/>
        <w:rPr>
          <w:lang w:val="en-US"/>
        </w:rPr>
      </w:pPr>
      <w:r w:rsidRPr="00503E11">
        <w:rPr>
          <w:lang w:val="en-US"/>
        </w:rPr>
        <w:t>Joan Plant was a director of AEX Gold Ltd which was placed into Members</w:t>
      </w:r>
      <w:r>
        <w:rPr>
          <w:lang w:val="en-US"/>
        </w:rPr>
        <w:t>'</w:t>
      </w:r>
      <w:r w:rsidRPr="00503E11">
        <w:rPr>
          <w:lang w:val="en-US"/>
        </w:rPr>
        <w:t xml:space="preserve"> voluntary liquidation on April 18, 2023 pursuant to the Insolvency Act 1986 (United Kingdom) at which time the directors considered the </w:t>
      </w:r>
      <w:r>
        <w:rPr>
          <w:lang w:val="en-US"/>
        </w:rPr>
        <w:t>Corporation'</w:t>
      </w:r>
      <w:r w:rsidRPr="00503E11">
        <w:rPr>
          <w:lang w:val="en-US"/>
        </w:rPr>
        <w:t>s financial position and agreed that it should be able to pay all of its debts in full together with interest at the official rate as defined in section 251 of the Insolvency Act 1986 within a period of 12 months from the commencement of the winding up and that the directors were not aware of any circumstances or liabilities which would render this unlikely or impossible.</w:t>
      </w:r>
    </w:p>
    <w:p w14:paraId="08EBCEA0" w14:textId="77777777" w:rsidR="009633AC" w:rsidRPr="00124878" w:rsidRDefault="009633AC" w:rsidP="009633AC">
      <w:pPr>
        <w:pStyle w:val="ProspectusL2"/>
      </w:pPr>
      <w:r w:rsidRPr="00124878">
        <w:t>Conflicts of Interest</w:t>
      </w:r>
    </w:p>
    <w:p w14:paraId="59628AB8" w14:textId="77777777" w:rsidR="009633AC" w:rsidRDefault="009633AC" w:rsidP="009633AC">
      <w:pPr>
        <w:pStyle w:val="ProspectusCont2"/>
      </w:pPr>
      <w:bookmarkStart w:id="87" w:name="_Toc42803799"/>
      <w:bookmarkStart w:id="88" w:name="_Toc57649494"/>
      <w:r w:rsidRPr="00E24679">
        <w:t xml:space="preserve">The </w:t>
      </w:r>
      <w:r>
        <w:t>Corporation</w:t>
      </w:r>
      <w:r w:rsidRPr="00E24679">
        <w:t xml:space="preserve"> has adopted a Code of Business Conduct and Ethics to be followed by the </w:t>
      </w:r>
      <w:r>
        <w:t>Corporation'</w:t>
      </w:r>
      <w:r w:rsidRPr="00E24679">
        <w:t xml:space="preserve">s </w:t>
      </w:r>
      <w:r>
        <w:t>d</w:t>
      </w:r>
      <w:r w:rsidRPr="00E24679">
        <w:t>irectors, officers, employees, consultants, and agents. The purpose of the Code of Business Conduct and Ethics is, among other things, to avoid conflict</w:t>
      </w:r>
      <w:r>
        <w:t>s</w:t>
      </w:r>
      <w:r w:rsidRPr="00E24679">
        <w:t xml:space="preserve"> of interest, protect confidential information and comply with the applicable government laws and securities rules and regulations.</w:t>
      </w:r>
    </w:p>
    <w:p w14:paraId="34709055" w14:textId="77777777" w:rsidR="009633AC" w:rsidRDefault="009633AC" w:rsidP="009633AC">
      <w:pPr>
        <w:pStyle w:val="ProspectusCont2"/>
        <w:rPr>
          <w:lang w:val="en-US"/>
        </w:rPr>
      </w:pPr>
      <w:r w:rsidRPr="00E24679">
        <w:rPr>
          <w:lang w:val="en-US"/>
        </w:rPr>
        <w:t xml:space="preserve">A </w:t>
      </w:r>
      <w:r>
        <w:rPr>
          <w:lang w:val="en-US"/>
        </w:rPr>
        <w:t>d</w:t>
      </w:r>
      <w:r w:rsidRPr="00E24679">
        <w:rPr>
          <w:lang w:val="en-US"/>
        </w:rPr>
        <w:t xml:space="preserve">irector </w:t>
      </w:r>
      <w:r>
        <w:rPr>
          <w:lang w:val="en-US"/>
        </w:rPr>
        <w:t>must</w:t>
      </w:r>
      <w:r w:rsidRPr="00E24679">
        <w:rPr>
          <w:lang w:val="en-US"/>
        </w:rPr>
        <w:t xml:space="preserve"> disclose to the </w:t>
      </w:r>
      <w:r>
        <w:rPr>
          <w:lang w:val="en-US"/>
        </w:rPr>
        <w:t>Corporation</w:t>
      </w:r>
      <w:r w:rsidRPr="00E24679">
        <w:rPr>
          <w:lang w:val="en-US"/>
        </w:rPr>
        <w:t xml:space="preserve">, in the manner and to the extent provided by the </w:t>
      </w:r>
      <w:r w:rsidRPr="00AC007B">
        <w:rPr>
          <w:i/>
          <w:iCs/>
          <w:lang w:val="en-US"/>
        </w:rPr>
        <w:t>Canada Business Corporations Act</w:t>
      </w:r>
      <w:r w:rsidRPr="00E24679">
        <w:rPr>
          <w:lang w:val="en-US"/>
        </w:rPr>
        <w:t xml:space="preserve">, any interest that such </w:t>
      </w:r>
      <w:r>
        <w:rPr>
          <w:lang w:val="en-US"/>
        </w:rPr>
        <w:t>d</w:t>
      </w:r>
      <w:r w:rsidRPr="00E24679">
        <w:rPr>
          <w:lang w:val="en-US"/>
        </w:rPr>
        <w:t xml:space="preserve">irector has in a material contract or transaction, whether made or proposed, with the </w:t>
      </w:r>
      <w:r>
        <w:rPr>
          <w:lang w:val="en-US"/>
        </w:rPr>
        <w:t>Corporation</w:t>
      </w:r>
      <w:r w:rsidRPr="00E24679">
        <w:rPr>
          <w:lang w:val="en-US"/>
        </w:rPr>
        <w:t xml:space="preserve">, if such Director (a) is a party to the contract or transaction, (b) is a director or an officer, or an individual acting in a similar capacity, of a party to the contract or transaction, or (c) has a material interest in a party to the contract or transaction. Such a </w:t>
      </w:r>
      <w:r>
        <w:rPr>
          <w:lang w:val="en-US"/>
        </w:rPr>
        <w:t>d</w:t>
      </w:r>
      <w:r w:rsidRPr="00E24679">
        <w:rPr>
          <w:lang w:val="en-US"/>
        </w:rPr>
        <w:t xml:space="preserve">irector </w:t>
      </w:r>
      <w:r>
        <w:rPr>
          <w:lang w:val="en-US"/>
        </w:rPr>
        <w:t>will</w:t>
      </w:r>
      <w:r w:rsidRPr="00E24679">
        <w:rPr>
          <w:lang w:val="en-US"/>
        </w:rPr>
        <w:t xml:space="preserve"> not vote on any resolution to approve the same except as provided by the </w:t>
      </w:r>
      <w:r w:rsidRPr="00AC007B">
        <w:rPr>
          <w:i/>
          <w:iCs/>
          <w:lang w:val="en-US"/>
        </w:rPr>
        <w:t>Canada Business Corporations Act</w:t>
      </w:r>
      <w:r w:rsidRPr="00E24679">
        <w:rPr>
          <w:lang w:val="en-US"/>
        </w:rPr>
        <w:t>.</w:t>
      </w:r>
    </w:p>
    <w:p w14:paraId="5D5DDE66" w14:textId="77777777" w:rsidR="009633AC" w:rsidRDefault="009633AC" w:rsidP="009633AC">
      <w:pPr>
        <w:pStyle w:val="ProspectusCont2"/>
        <w:rPr>
          <w:lang w:val="en-US"/>
        </w:rPr>
      </w:pPr>
      <w:r w:rsidRPr="00E24679">
        <w:rPr>
          <w:lang w:val="en-US"/>
        </w:rPr>
        <w:t xml:space="preserve">To the </w:t>
      </w:r>
      <w:r>
        <w:rPr>
          <w:lang w:val="en-US"/>
        </w:rPr>
        <w:t>Corporation'</w:t>
      </w:r>
      <w:r w:rsidRPr="00E24679">
        <w:rPr>
          <w:lang w:val="en-US"/>
        </w:rPr>
        <w:t>s knowledge,</w:t>
      </w:r>
      <w:r>
        <w:rPr>
          <w:lang w:val="en-US"/>
        </w:rPr>
        <w:t xml:space="preserve"> and other than disclosed herein,</w:t>
      </w:r>
      <w:r w:rsidRPr="00E24679">
        <w:rPr>
          <w:lang w:val="en-US"/>
        </w:rPr>
        <w:t xml:space="preserve"> there are currently no </w:t>
      </w:r>
      <w:r>
        <w:rPr>
          <w:lang w:val="en-US"/>
        </w:rPr>
        <w:t>existing</w:t>
      </w:r>
      <w:r w:rsidRPr="00E24679">
        <w:rPr>
          <w:lang w:val="en-US"/>
        </w:rPr>
        <w:t xml:space="preserve"> or potential </w:t>
      </w:r>
      <w:r>
        <w:rPr>
          <w:lang w:val="en-US"/>
        </w:rPr>
        <w:t xml:space="preserve">material </w:t>
      </w:r>
      <w:r w:rsidRPr="00E24679">
        <w:rPr>
          <w:lang w:val="en-US"/>
        </w:rPr>
        <w:t xml:space="preserve">conflicts of interest between the </w:t>
      </w:r>
      <w:r>
        <w:rPr>
          <w:lang w:val="en-US"/>
        </w:rPr>
        <w:t>Corporation or its subsidiaries</w:t>
      </w:r>
      <w:r w:rsidRPr="00E24679">
        <w:rPr>
          <w:lang w:val="en-US"/>
        </w:rPr>
        <w:t xml:space="preserve"> </w:t>
      </w:r>
      <w:r w:rsidRPr="00150250">
        <w:rPr>
          <w:lang w:val="en-US"/>
        </w:rPr>
        <w:t>and</w:t>
      </w:r>
      <w:r w:rsidRPr="00150250">
        <w:rPr>
          <w:spacing w:val="17"/>
          <w:lang w:val="en-US"/>
        </w:rPr>
        <w:t xml:space="preserve"> </w:t>
      </w:r>
      <w:r>
        <w:rPr>
          <w:spacing w:val="-2"/>
          <w:lang w:val="en-US"/>
        </w:rPr>
        <w:t>any</w:t>
      </w:r>
      <w:r w:rsidRPr="00150250">
        <w:rPr>
          <w:spacing w:val="16"/>
          <w:lang w:val="en-US"/>
        </w:rPr>
        <w:t xml:space="preserve"> </w:t>
      </w:r>
      <w:r w:rsidRPr="00150250">
        <w:rPr>
          <w:lang w:val="en-US"/>
        </w:rPr>
        <w:t>director</w:t>
      </w:r>
      <w:r>
        <w:rPr>
          <w:lang w:val="en-US"/>
        </w:rPr>
        <w:t xml:space="preserve"> or officer of the Corporation or of a subsidiary of the Corporation</w:t>
      </w:r>
      <w:r w:rsidRPr="00E24679">
        <w:rPr>
          <w:lang w:val="en-US"/>
        </w:rPr>
        <w:t>.</w:t>
      </w:r>
    </w:p>
    <w:p w14:paraId="7529E0DE" w14:textId="77777777" w:rsidR="009633AC" w:rsidRDefault="009633AC" w:rsidP="009633AC">
      <w:pPr>
        <w:pStyle w:val="ProspectusCont2"/>
        <w:rPr>
          <w:lang w:val="en-US"/>
        </w:rPr>
      </w:pPr>
      <w:r w:rsidRPr="00E24679">
        <w:rPr>
          <w:lang w:val="en-US"/>
        </w:rPr>
        <w:t xml:space="preserve">However, insofar as </w:t>
      </w:r>
      <w:r>
        <w:rPr>
          <w:lang w:val="en-US"/>
        </w:rPr>
        <w:t>d</w:t>
      </w:r>
      <w:r w:rsidRPr="00E24679">
        <w:rPr>
          <w:lang w:val="en-US"/>
        </w:rPr>
        <w:t xml:space="preserve">irectors and </w:t>
      </w:r>
      <w:r>
        <w:rPr>
          <w:lang w:val="en-US"/>
        </w:rPr>
        <w:t>e</w:t>
      </w:r>
      <w:r w:rsidRPr="00E24679">
        <w:rPr>
          <w:lang w:val="en-US"/>
        </w:rPr>
        <w:t xml:space="preserve">xecutive </w:t>
      </w:r>
      <w:r>
        <w:rPr>
          <w:lang w:val="en-US"/>
        </w:rPr>
        <w:t>o</w:t>
      </w:r>
      <w:r w:rsidRPr="00E24679">
        <w:rPr>
          <w:lang w:val="en-US"/>
        </w:rPr>
        <w:t xml:space="preserve">fficers of the </w:t>
      </w:r>
      <w:r>
        <w:rPr>
          <w:lang w:val="en-US"/>
        </w:rPr>
        <w:t>Corporation</w:t>
      </w:r>
      <w:r w:rsidRPr="00E24679">
        <w:rPr>
          <w:lang w:val="en-US"/>
        </w:rPr>
        <w:t xml:space="preserve"> may hold similar positions with other mineral resource companies, conflicts may arise between the obligations of these</w:t>
      </w:r>
      <w:r>
        <w:rPr>
          <w:lang w:val="en-US"/>
        </w:rPr>
        <w:t xml:space="preserve"> d</w:t>
      </w:r>
      <w:r w:rsidRPr="00E24679">
        <w:rPr>
          <w:lang w:val="en-US"/>
        </w:rPr>
        <w:t xml:space="preserve">irectors and </w:t>
      </w:r>
      <w:r>
        <w:rPr>
          <w:lang w:val="en-US"/>
        </w:rPr>
        <w:t>o</w:t>
      </w:r>
      <w:r w:rsidRPr="00E24679">
        <w:rPr>
          <w:lang w:val="en-US"/>
        </w:rPr>
        <w:t xml:space="preserve">fficers to the </w:t>
      </w:r>
      <w:r>
        <w:rPr>
          <w:lang w:val="en-US"/>
        </w:rPr>
        <w:t>Corporation</w:t>
      </w:r>
      <w:r w:rsidRPr="00E24679">
        <w:rPr>
          <w:lang w:val="en-US"/>
        </w:rPr>
        <w:t xml:space="preserve"> and to such other mineral resource companies.</w:t>
      </w:r>
    </w:p>
    <w:p w14:paraId="62A4A17A" w14:textId="77777777" w:rsidR="009633AC" w:rsidRPr="005C6077" w:rsidRDefault="009633AC" w:rsidP="009633AC">
      <w:pPr>
        <w:pStyle w:val="ProspectusCont2"/>
        <w:rPr>
          <w:lang w:val="en-US"/>
        </w:rPr>
      </w:pPr>
      <w:r w:rsidRPr="00E24679">
        <w:rPr>
          <w:lang w:val="en-US"/>
        </w:rPr>
        <w:t xml:space="preserve">Certain </w:t>
      </w:r>
      <w:r>
        <w:rPr>
          <w:lang w:val="en-US"/>
        </w:rPr>
        <w:t>d</w:t>
      </w:r>
      <w:r w:rsidRPr="00E24679">
        <w:rPr>
          <w:lang w:val="en-US"/>
        </w:rPr>
        <w:t xml:space="preserve">irectors and </w:t>
      </w:r>
      <w:r>
        <w:rPr>
          <w:lang w:val="en-US"/>
        </w:rPr>
        <w:t>e</w:t>
      </w:r>
      <w:r w:rsidRPr="00E24679">
        <w:rPr>
          <w:lang w:val="en-US"/>
        </w:rPr>
        <w:t xml:space="preserve">xecutive </w:t>
      </w:r>
      <w:r>
        <w:rPr>
          <w:lang w:val="en-US"/>
        </w:rPr>
        <w:t>o</w:t>
      </w:r>
      <w:r w:rsidRPr="00E24679">
        <w:rPr>
          <w:lang w:val="en-US"/>
        </w:rPr>
        <w:t xml:space="preserve">fficers of the </w:t>
      </w:r>
      <w:r>
        <w:rPr>
          <w:lang w:val="en-US"/>
        </w:rPr>
        <w:t>Corporation</w:t>
      </w:r>
      <w:r w:rsidRPr="00E24679">
        <w:rPr>
          <w:lang w:val="en-US"/>
        </w:rPr>
        <w:t xml:space="preserve"> may be involved in the mining and mineral exploration industry through their direct and indirect participation in corporations, partnerships or joint ventures which are potential competitors of the </w:t>
      </w:r>
      <w:r>
        <w:rPr>
          <w:lang w:val="en-US"/>
        </w:rPr>
        <w:t>Corporation</w:t>
      </w:r>
      <w:r w:rsidRPr="00E24679">
        <w:rPr>
          <w:lang w:val="en-US"/>
        </w:rPr>
        <w:t xml:space="preserve">. Situations may arise in connection with potential acquisitions or investments where the other interests of these </w:t>
      </w:r>
      <w:r>
        <w:rPr>
          <w:lang w:val="en-US"/>
        </w:rPr>
        <w:t>d</w:t>
      </w:r>
      <w:r w:rsidRPr="00E24679">
        <w:rPr>
          <w:lang w:val="en-US"/>
        </w:rPr>
        <w:t xml:space="preserve">irectors and </w:t>
      </w:r>
      <w:r>
        <w:rPr>
          <w:lang w:val="en-US"/>
        </w:rPr>
        <w:t>e</w:t>
      </w:r>
      <w:r w:rsidRPr="00E24679">
        <w:rPr>
          <w:lang w:val="en-US"/>
        </w:rPr>
        <w:t xml:space="preserve">xecutive </w:t>
      </w:r>
      <w:r>
        <w:rPr>
          <w:lang w:val="en-US"/>
        </w:rPr>
        <w:t>o</w:t>
      </w:r>
      <w:r w:rsidRPr="00E24679">
        <w:rPr>
          <w:lang w:val="en-US"/>
        </w:rPr>
        <w:t xml:space="preserve">fficers may conflict with the interests of the </w:t>
      </w:r>
      <w:r>
        <w:rPr>
          <w:lang w:val="en-US"/>
        </w:rPr>
        <w:t>Corporation</w:t>
      </w:r>
      <w:r w:rsidRPr="00E24679">
        <w:rPr>
          <w:lang w:val="en-US"/>
        </w:rPr>
        <w:t xml:space="preserve">. Directors and officers of the </w:t>
      </w:r>
      <w:r>
        <w:rPr>
          <w:lang w:val="en-US"/>
        </w:rPr>
        <w:t>Corporation</w:t>
      </w:r>
      <w:r w:rsidRPr="00E24679">
        <w:rPr>
          <w:lang w:val="en-US"/>
        </w:rPr>
        <w:t xml:space="preserve"> with conflicts of interest will be subject to and will follow the procedures set out in</w:t>
      </w:r>
      <w:r w:rsidRPr="005C6077">
        <w:rPr>
          <w:lang w:val="en-US"/>
        </w:rPr>
        <w:t xml:space="preserve"> applicable corporate and securities legislation, regulations, rules and policies.</w:t>
      </w:r>
    </w:p>
    <w:p w14:paraId="60D3B6D6" w14:textId="77777777" w:rsidR="009633AC" w:rsidRPr="00124878" w:rsidRDefault="009633AC" w:rsidP="009633AC">
      <w:pPr>
        <w:pStyle w:val="ProspectusL1"/>
      </w:pPr>
      <w:bookmarkStart w:id="89" w:name="_Toc161911193"/>
      <w:r w:rsidRPr="00124878">
        <w:lastRenderedPageBreak/>
        <w:t>LEGAL PROCEEDINGS</w:t>
      </w:r>
      <w:bookmarkEnd w:id="87"/>
      <w:bookmarkEnd w:id="88"/>
      <w:r>
        <w:t xml:space="preserve"> </w:t>
      </w:r>
      <w:r>
        <w:rPr>
          <w:caps w:val="0"/>
        </w:rPr>
        <w:t>AND REGULATORY ACTIONS</w:t>
      </w:r>
      <w:bookmarkEnd w:id="89"/>
    </w:p>
    <w:p w14:paraId="351A10B3" w14:textId="77777777" w:rsidR="009633AC" w:rsidRPr="009716C6" w:rsidRDefault="009633AC" w:rsidP="009633AC">
      <w:pPr>
        <w:pStyle w:val="ProspectusL2"/>
      </w:pPr>
      <w:r w:rsidRPr="009716C6">
        <w:t>Legal</w:t>
      </w:r>
      <w:r w:rsidRPr="009716C6">
        <w:rPr>
          <w:spacing w:val="-3"/>
        </w:rPr>
        <w:t xml:space="preserve"> </w:t>
      </w:r>
      <w:r w:rsidRPr="009716C6">
        <w:t>Proceedings</w:t>
      </w:r>
    </w:p>
    <w:p w14:paraId="43FF7E84" w14:textId="77777777" w:rsidR="009633AC" w:rsidRPr="009716C6" w:rsidRDefault="009633AC" w:rsidP="009633AC">
      <w:pPr>
        <w:pStyle w:val="ProspectusCont2"/>
      </w:pPr>
      <w:r w:rsidRPr="009716C6">
        <w:t>The Corporation is not and was not a party to, and none of its property is or was the subject of, any legal proceedings during the Corporation's most recently completed financial year, nor does the Corporation contemplate any such legal proceedings.</w:t>
      </w:r>
    </w:p>
    <w:p w14:paraId="3BA55F7A" w14:textId="77777777" w:rsidR="009633AC" w:rsidRPr="009716C6" w:rsidRDefault="009633AC" w:rsidP="009633AC">
      <w:pPr>
        <w:pStyle w:val="ProspectusL2"/>
      </w:pPr>
      <w:r w:rsidRPr="009716C6">
        <w:t>Regulatory</w:t>
      </w:r>
      <w:r w:rsidRPr="009716C6">
        <w:rPr>
          <w:spacing w:val="-3"/>
        </w:rPr>
        <w:t xml:space="preserve"> </w:t>
      </w:r>
      <w:r w:rsidRPr="009716C6">
        <w:t>Actions</w:t>
      </w:r>
    </w:p>
    <w:p w14:paraId="524C96C6" w14:textId="77777777" w:rsidR="009633AC" w:rsidRPr="000B10A2" w:rsidRDefault="009633AC" w:rsidP="009633AC">
      <w:pPr>
        <w:pStyle w:val="ProspectusCont2"/>
      </w:pPr>
      <w:r w:rsidRPr="009716C6">
        <w:t>No penalties or sanctions were imposed against the Corporation by a court relating to securities legislation or by a</w:t>
      </w:r>
      <w:r w:rsidRPr="000B10A2">
        <w:t xml:space="preserve"> securities regulatory authority, nor were any settlement agreements entered into by the Corporation before a court relating to securities legislation or with a securities regulatory authority, during the last financial year of the Corporation, and no other penalties or sanctions have been imposed by a court or regulatory body against the Corporation or its subsidiaries that would likely be considered important to a reasonable investor in making an investment decision.</w:t>
      </w:r>
    </w:p>
    <w:p w14:paraId="5F410065" w14:textId="77777777" w:rsidR="009633AC" w:rsidRPr="00124878" w:rsidRDefault="009633AC" w:rsidP="009633AC">
      <w:pPr>
        <w:pStyle w:val="ProspectusL1"/>
      </w:pPr>
      <w:bookmarkStart w:id="90" w:name="_Toc42803800"/>
      <w:bookmarkStart w:id="91" w:name="_Toc57649495"/>
      <w:bookmarkStart w:id="92" w:name="_Toc161911194"/>
      <w:r w:rsidRPr="00124878">
        <w:t>INTEREST OF MANAGEMENT AND OTHERS IN MATERIAL TRANSACTIONS</w:t>
      </w:r>
      <w:bookmarkEnd w:id="90"/>
      <w:bookmarkEnd w:id="91"/>
      <w:bookmarkEnd w:id="92"/>
    </w:p>
    <w:p w14:paraId="5BB9140E" w14:textId="77777777" w:rsidR="009633AC" w:rsidRPr="0044767C" w:rsidRDefault="009633AC" w:rsidP="009633AC">
      <w:pPr>
        <w:pStyle w:val="ProspectusCont1"/>
      </w:pPr>
      <w:r>
        <w:rPr>
          <w:lang w:val="en-GB"/>
        </w:rPr>
        <w:t>N</w:t>
      </w:r>
      <w:r w:rsidRPr="0044767C">
        <w:t>one of the directors or executive officers of the Corporation, or any</w:t>
      </w:r>
      <w:r>
        <w:t xml:space="preserve"> </w:t>
      </w:r>
      <w:r w:rsidRPr="0044767C">
        <w:t>person that beneficially owns, or controls or directs, directly or indirectly, more than 10% of the Common</w:t>
      </w:r>
      <w:r>
        <w:t xml:space="preserve"> </w:t>
      </w:r>
      <w:r w:rsidRPr="0044767C">
        <w:t>Shares, or any associate or affiliate of any of the foregoing persons, has or has had any material interest,</w:t>
      </w:r>
      <w:r>
        <w:t xml:space="preserve"> </w:t>
      </w:r>
      <w:r w:rsidRPr="0044767C">
        <w:t>direct or indirect, in any transaction within the three most recently completed financial years of the</w:t>
      </w:r>
      <w:r>
        <w:t xml:space="preserve"> </w:t>
      </w:r>
      <w:r w:rsidRPr="0044767C">
        <w:t>Corporation, or during the current financial year, that has materially affected or is reasonably expected to</w:t>
      </w:r>
      <w:r>
        <w:t xml:space="preserve"> </w:t>
      </w:r>
      <w:r w:rsidRPr="0044767C">
        <w:t>materially affect the Corporation or any of its subsidiaries.</w:t>
      </w:r>
    </w:p>
    <w:p w14:paraId="66435678" w14:textId="77777777" w:rsidR="009633AC" w:rsidRPr="00124878" w:rsidRDefault="009633AC" w:rsidP="009633AC">
      <w:pPr>
        <w:pStyle w:val="ProspectusL1"/>
      </w:pPr>
      <w:bookmarkStart w:id="93" w:name="_Toc42803801"/>
      <w:bookmarkStart w:id="94" w:name="_Toc57649496"/>
      <w:bookmarkStart w:id="95" w:name="_Toc161911195"/>
      <w:r w:rsidRPr="00124878">
        <w:t>TRANSFER AGENT AND REGISTRAR</w:t>
      </w:r>
      <w:bookmarkEnd w:id="93"/>
      <w:bookmarkEnd w:id="94"/>
      <w:bookmarkEnd w:id="95"/>
    </w:p>
    <w:p w14:paraId="40591D53" w14:textId="77777777" w:rsidR="009633AC" w:rsidRDefault="009633AC" w:rsidP="009633AC">
      <w:pPr>
        <w:pStyle w:val="ProspectusCont1"/>
      </w:pPr>
      <w:r w:rsidRPr="00E3064D">
        <w:t xml:space="preserve">The </w:t>
      </w:r>
      <w:r>
        <w:t>Corporation'</w:t>
      </w:r>
      <w:r w:rsidRPr="00E3064D">
        <w:t xml:space="preserve">s transfer agent and registrar for the Common Shares on the </w:t>
      </w:r>
      <w:r>
        <w:t>Corporation'</w:t>
      </w:r>
      <w:r w:rsidRPr="00E3064D">
        <w:t>s Canadian register is Computershare Investor Services Inc. at its principal offices in Toronto, Ontario at 100 University Avenue, Toronto, Ontario M5J 2Y1.</w:t>
      </w:r>
    </w:p>
    <w:p w14:paraId="35C6C9ED" w14:textId="77777777" w:rsidR="009633AC" w:rsidRDefault="009633AC" w:rsidP="009633AC">
      <w:pPr>
        <w:pStyle w:val="ProspectusCont1"/>
        <w:rPr>
          <w:lang w:val="en-US"/>
        </w:rPr>
      </w:pPr>
      <w:r w:rsidRPr="00E3064D">
        <w:rPr>
          <w:lang w:val="en-US"/>
        </w:rPr>
        <w:t xml:space="preserve">The Corporation's </w:t>
      </w:r>
      <w:r>
        <w:rPr>
          <w:lang w:val="en-US"/>
        </w:rPr>
        <w:t>d</w:t>
      </w:r>
      <w:r w:rsidRPr="00E3064D">
        <w:rPr>
          <w:lang w:val="en-US"/>
        </w:rPr>
        <w:t>epositary for the Common Shares traded on AIM under the ticker "AMRQ" is Computershare Investor Services Plc located at The Pavilions, Bridgwater Road, Bristol, BS13 8AE, United Kingdom.</w:t>
      </w:r>
    </w:p>
    <w:p w14:paraId="263D5B98" w14:textId="77777777" w:rsidR="009633AC" w:rsidRDefault="009633AC" w:rsidP="009633AC">
      <w:pPr>
        <w:pStyle w:val="ProspectusCont1"/>
        <w:rPr>
          <w:b/>
          <w:bCs/>
          <w:lang w:val="en-US"/>
        </w:rPr>
      </w:pPr>
      <w:r w:rsidRPr="00C84376">
        <w:rPr>
          <w:lang w:val="en-US"/>
        </w:rPr>
        <w:t xml:space="preserve">The Corporation's </w:t>
      </w:r>
      <w:r>
        <w:rPr>
          <w:lang w:val="en-US"/>
        </w:rPr>
        <w:t>d</w:t>
      </w:r>
      <w:r w:rsidRPr="00C84376">
        <w:rPr>
          <w:lang w:val="en-US"/>
        </w:rPr>
        <w:t xml:space="preserve">epository for the </w:t>
      </w:r>
      <w:r>
        <w:rPr>
          <w:lang w:val="en-US"/>
        </w:rPr>
        <w:t>d</w:t>
      </w:r>
      <w:r w:rsidRPr="00C84376">
        <w:rPr>
          <w:lang w:val="en-US"/>
        </w:rPr>
        <w:t xml:space="preserve">epository </w:t>
      </w:r>
      <w:r>
        <w:rPr>
          <w:lang w:val="en-US"/>
        </w:rPr>
        <w:t>r</w:t>
      </w:r>
      <w:r w:rsidRPr="00C84376">
        <w:rPr>
          <w:lang w:val="en-US"/>
        </w:rPr>
        <w:t>eceipts is Arion Banki hf., kt.581008-0150, Borgartúni 19, 105 Reykjavík, Iceland</w:t>
      </w:r>
      <w:r w:rsidRPr="003E45BA" w:rsidDel="003E45BA">
        <w:rPr>
          <w:b/>
          <w:bCs/>
          <w:lang w:val="en-US"/>
        </w:rPr>
        <w:t xml:space="preserve"> </w:t>
      </w:r>
      <w:bookmarkStart w:id="96" w:name="_Toc42803802"/>
      <w:bookmarkStart w:id="97" w:name="_Toc57649497"/>
    </w:p>
    <w:p w14:paraId="1AEFAF89" w14:textId="77777777" w:rsidR="009633AC" w:rsidRPr="00291D82" w:rsidRDefault="009633AC" w:rsidP="009633AC">
      <w:pPr>
        <w:pStyle w:val="ProspectusL1"/>
      </w:pPr>
      <w:bookmarkStart w:id="98" w:name="_Toc161911196"/>
      <w:r w:rsidRPr="00291D82">
        <w:t>MATERIAL CONTRACTS</w:t>
      </w:r>
      <w:bookmarkEnd w:id="96"/>
      <w:bookmarkEnd w:id="97"/>
      <w:bookmarkEnd w:id="98"/>
    </w:p>
    <w:p w14:paraId="782DE206" w14:textId="77777777" w:rsidR="009633AC" w:rsidRDefault="009633AC" w:rsidP="009633AC">
      <w:pPr>
        <w:pStyle w:val="ProspectusCont1"/>
        <w:rPr>
          <w:lang w:val="en-US"/>
        </w:rPr>
      </w:pPr>
      <w:r w:rsidRPr="00291D82">
        <w:rPr>
          <w:lang w:val="en-US"/>
        </w:rPr>
        <w:t>Except for contracts entered into in the ordinary course of business, there have been no material contracts entered into by the Corporation within the most recently completed financial year, or before the most recently completed financial year that are still in effect.</w:t>
      </w:r>
    </w:p>
    <w:p w14:paraId="1344F66B" w14:textId="77777777" w:rsidR="009633AC" w:rsidRPr="00124878" w:rsidRDefault="009633AC" w:rsidP="009633AC">
      <w:pPr>
        <w:pStyle w:val="ProspectusL1"/>
      </w:pPr>
      <w:bookmarkStart w:id="99" w:name="_Toc42803804"/>
      <w:bookmarkStart w:id="100" w:name="_Toc57649499"/>
      <w:bookmarkStart w:id="101" w:name="_Toc161911197"/>
      <w:r w:rsidRPr="00124878">
        <w:t>INTEREST OF EXPERTS</w:t>
      </w:r>
      <w:bookmarkEnd w:id="99"/>
      <w:bookmarkEnd w:id="100"/>
      <w:bookmarkEnd w:id="101"/>
    </w:p>
    <w:p w14:paraId="57AE329F" w14:textId="77777777" w:rsidR="009633AC" w:rsidRDefault="009633AC" w:rsidP="009633AC">
      <w:pPr>
        <w:pStyle w:val="ProspectusCont1"/>
      </w:pPr>
      <w:r w:rsidRPr="00265769">
        <w:t xml:space="preserve">BDO </w:t>
      </w:r>
      <w:r w:rsidRPr="005B52ED">
        <w:t>Canada LLP ("</w:t>
      </w:r>
      <w:r w:rsidRPr="00204744">
        <w:rPr>
          <w:b/>
          <w:bCs/>
        </w:rPr>
        <w:t>BDO</w:t>
      </w:r>
      <w:r w:rsidRPr="005B52ED">
        <w:t>") provided an auditor</w:t>
      </w:r>
      <w:r>
        <w:t>'</w:t>
      </w:r>
      <w:r w:rsidRPr="005B52ED">
        <w:t>s report in respect to the Corporation</w:t>
      </w:r>
      <w:r>
        <w:t>'</w:t>
      </w:r>
      <w:r w:rsidRPr="005B52ED">
        <w:t>s financial statements for the year ended December 31, 2023. BDO is independent with respect to the Corporation within the meaning of the Rules of Professional Conduct of the Institute of Chartered Professional Accountants of Ontario.</w:t>
      </w:r>
    </w:p>
    <w:p w14:paraId="50D8F01A" w14:textId="77777777" w:rsidR="009633AC" w:rsidRDefault="009633AC" w:rsidP="009633AC">
      <w:pPr>
        <w:pStyle w:val="ProspectusCont1"/>
        <w:rPr>
          <w:lang w:val="en-US"/>
        </w:rPr>
      </w:pPr>
      <w:r w:rsidRPr="005B52ED">
        <w:rPr>
          <w:lang w:val="en-US"/>
        </w:rPr>
        <w:t>BDO provided an auditor</w:t>
      </w:r>
      <w:r>
        <w:rPr>
          <w:lang w:val="en-US"/>
        </w:rPr>
        <w:t>'</w:t>
      </w:r>
      <w:r w:rsidRPr="005B52ED">
        <w:rPr>
          <w:lang w:val="en-US"/>
        </w:rPr>
        <w:t>s report in respect to the Corporation</w:t>
      </w:r>
      <w:r>
        <w:rPr>
          <w:lang w:val="en-US"/>
        </w:rPr>
        <w:t>'</w:t>
      </w:r>
      <w:r w:rsidRPr="005B52ED">
        <w:rPr>
          <w:lang w:val="en-US"/>
        </w:rPr>
        <w:t>s financial statements for the year ended December 31, 2022. BDO is independent with respect to the Corporation within the meaning of the Rules of Professional Conduct of the Institute of Chartered Professional Accountants of Ontario.</w:t>
      </w:r>
    </w:p>
    <w:p w14:paraId="2D7FF654" w14:textId="77777777" w:rsidR="009633AC" w:rsidRPr="005B52ED" w:rsidRDefault="009633AC" w:rsidP="009633AC">
      <w:pPr>
        <w:pStyle w:val="ProspectusCont1"/>
        <w:rPr>
          <w:lang w:val="en-US"/>
        </w:rPr>
      </w:pPr>
      <w:r w:rsidRPr="005B52ED">
        <w:rPr>
          <w:lang w:val="en-US"/>
        </w:rPr>
        <w:t>The following persons are also named as having prepared or certified a report, valuation, statement or opinion described or included in a filing, or referred to in a filing, made by the Corporation under NI 51-102 during, or relating to, the financial year of the Corporation ended December 31, 2023:</w:t>
      </w:r>
    </w:p>
    <w:p w14:paraId="2119C909" w14:textId="77777777" w:rsidR="009633AC" w:rsidRPr="005B52ED" w:rsidRDefault="009633AC" w:rsidP="009633AC">
      <w:pPr>
        <w:pStyle w:val="ProspectusL8"/>
      </w:pPr>
      <w:r w:rsidRPr="005B52ED">
        <w:lastRenderedPageBreak/>
        <w:t xml:space="preserve">Lucy Roberts, MAusIMM(CP) of SRK Consulting (UK) Limited </w:t>
      </w:r>
    </w:p>
    <w:p w14:paraId="754233E9" w14:textId="77777777" w:rsidR="009633AC" w:rsidRPr="005B52ED" w:rsidRDefault="009633AC" w:rsidP="009633AC">
      <w:pPr>
        <w:pStyle w:val="ProspectusL8"/>
      </w:pPr>
      <w:r w:rsidRPr="005B52ED">
        <w:t>James Glibertson, CGeol (Chartered Geologist, Geological Society of London) of SRK Explortation Services Ltd</w:t>
      </w:r>
    </w:p>
    <w:p w14:paraId="07CE6317" w14:textId="77777777" w:rsidR="009633AC" w:rsidRDefault="009633AC" w:rsidP="009633AC">
      <w:pPr>
        <w:pStyle w:val="ProspectusCont1"/>
      </w:pPr>
      <w:r w:rsidRPr="005B52ED">
        <w:t>To the best knowledge of the Corporation, the persons and firms referenced above each hold less than 1% of any class of the outstanding securities of the Corporation, or of any associate or affiliate of the Corporation.</w:t>
      </w:r>
    </w:p>
    <w:p w14:paraId="13BC1D22" w14:textId="77777777" w:rsidR="009633AC" w:rsidRDefault="009633AC" w:rsidP="009633AC">
      <w:pPr>
        <w:pStyle w:val="ProspectusCont1"/>
        <w:rPr>
          <w:lang w:val="en-US"/>
        </w:rPr>
      </w:pPr>
      <w:r w:rsidRPr="005B52ED">
        <w:rPr>
          <w:lang w:val="en-US"/>
        </w:rPr>
        <w:t>None of the aforementioned persons or firms, nor any director, officer or employee of such firms, is currently, or is</w:t>
      </w:r>
      <w:r w:rsidRPr="00265769">
        <w:rPr>
          <w:lang w:val="en-US"/>
        </w:rPr>
        <w:t xml:space="preserve"> expected to be, elected, appointed or employed as a director, officer or employee of the</w:t>
      </w:r>
      <w:r>
        <w:rPr>
          <w:lang w:val="en-US"/>
        </w:rPr>
        <w:t xml:space="preserve"> </w:t>
      </w:r>
      <w:r w:rsidRPr="00265769">
        <w:rPr>
          <w:lang w:val="en-US"/>
        </w:rPr>
        <w:t>Corporation, or of any associate or affiliate of the Corporation.</w:t>
      </w:r>
    </w:p>
    <w:p w14:paraId="32B66889" w14:textId="77777777" w:rsidR="009633AC" w:rsidRPr="00124878" w:rsidRDefault="009633AC" w:rsidP="009633AC">
      <w:pPr>
        <w:pStyle w:val="ProspectusL1"/>
      </w:pPr>
      <w:bookmarkStart w:id="102" w:name="_Toc42803805"/>
      <w:bookmarkStart w:id="103" w:name="_Toc57649500"/>
      <w:bookmarkStart w:id="104" w:name="_Toc40443113"/>
      <w:bookmarkStart w:id="105" w:name="_Toc40631489"/>
      <w:bookmarkStart w:id="106" w:name="_Toc161911198"/>
      <w:r w:rsidRPr="00124878">
        <w:t>AUDIT COMMITTEE</w:t>
      </w:r>
      <w:bookmarkEnd w:id="102"/>
      <w:bookmarkEnd w:id="103"/>
      <w:bookmarkEnd w:id="104"/>
      <w:bookmarkEnd w:id="105"/>
      <w:bookmarkEnd w:id="106"/>
    </w:p>
    <w:p w14:paraId="1AD518AD" w14:textId="77777777" w:rsidR="009633AC" w:rsidRPr="00871117" w:rsidRDefault="009633AC" w:rsidP="009633AC">
      <w:pPr>
        <w:pStyle w:val="ProspectusL2"/>
      </w:pPr>
      <w:r w:rsidRPr="00871117">
        <w:t>The Audit Committee's Charter</w:t>
      </w:r>
    </w:p>
    <w:p w14:paraId="7C207491" w14:textId="77777777" w:rsidR="009633AC" w:rsidRDefault="009633AC" w:rsidP="009633AC">
      <w:pPr>
        <w:pStyle w:val="ProspectusCont2"/>
      </w:pPr>
      <w:r w:rsidRPr="00871117">
        <w:t xml:space="preserve">The </w:t>
      </w:r>
      <w:r>
        <w:t>board of directors</w:t>
      </w:r>
      <w:r w:rsidRPr="00871117">
        <w:t xml:space="preserve"> has adopted a</w:t>
      </w:r>
      <w:r>
        <w:t>n</w:t>
      </w:r>
      <w:r w:rsidRPr="00871117">
        <w:t xml:space="preserve"> </w:t>
      </w:r>
      <w:r>
        <w:t>Audit and Risk Management Committee Charter</w:t>
      </w:r>
      <w:r w:rsidRPr="00871117">
        <w:t xml:space="preserve">, which sets out the </w:t>
      </w:r>
      <w:r>
        <w:t>A</w:t>
      </w:r>
      <w:r w:rsidRPr="00871117">
        <w:t xml:space="preserve">udit </w:t>
      </w:r>
      <w:r>
        <w:t>and Risk Management C</w:t>
      </w:r>
      <w:r w:rsidRPr="00871117">
        <w:t>ommittee's responsibilities</w:t>
      </w:r>
      <w:r>
        <w:t xml:space="preserve"> and duties</w:t>
      </w:r>
      <w:r w:rsidRPr="00871117">
        <w:t xml:space="preserve">. The full text of the </w:t>
      </w:r>
      <w:r>
        <w:t>Audit and Risk Management Committee Charter</w:t>
      </w:r>
      <w:r w:rsidRPr="00871117">
        <w:t xml:space="preserve"> is attached hereto as</w:t>
      </w:r>
      <w:r>
        <w:t xml:space="preserve"> </w:t>
      </w:r>
      <w:r>
        <w:fldChar w:fldCharType="begin"/>
      </w:r>
      <w:r>
        <w:instrText xml:space="preserve"> REF _Ref161897872 \r \h </w:instrText>
      </w:r>
      <w:r>
        <w:fldChar w:fldCharType="separate"/>
      </w:r>
      <w:r>
        <w:t>Schedule "A"</w:t>
      </w:r>
      <w:r>
        <w:fldChar w:fldCharType="end"/>
      </w:r>
      <w:r w:rsidRPr="00871117">
        <w:t>.</w:t>
      </w:r>
    </w:p>
    <w:p w14:paraId="0424E913" w14:textId="77777777" w:rsidR="009633AC" w:rsidRPr="00871117" w:rsidRDefault="009633AC" w:rsidP="009633AC">
      <w:pPr>
        <w:pStyle w:val="ProspectusL2"/>
      </w:pPr>
      <w:r w:rsidRPr="00871117">
        <w:t>Composition of the Audit Committee</w:t>
      </w:r>
    </w:p>
    <w:p w14:paraId="170E1DE6" w14:textId="77777777" w:rsidR="009633AC" w:rsidRPr="005B52ED" w:rsidRDefault="009633AC" w:rsidP="009633AC">
      <w:pPr>
        <w:pStyle w:val="ProspectusCont2"/>
      </w:pPr>
      <w:r w:rsidRPr="005B52ED">
        <w:t>The members of the Audit and Risk Management Committee are Line Frederiksen (chair), Sigurbjorn Thorkelsson and David Neuhauser, all of whom are "independent" and "financially literate" (as such terms are defined in National Instrument 52-110).</w:t>
      </w:r>
    </w:p>
    <w:tbl>
      <w:tblPr>
        <w:tblStyle w:val="TableGrid"/>
        <w:tblW w:w="5000" w:type="pct"/>
        <w:tblLook w:val="04A0" w:firstRow="1" w:lastRow="0" w:firstColumn="1" w:lastColumn="0" w:noHBand="0" w:noVBand="1"/>
      </w:tblPr>
      <w:tblGrid>
        <w:gridCol w:w="3200"/>
        <w:gridCol w:w="3079"/>
        <w:gridCol w:w="3081"/>
      </w:tblGrid>
      <w:tr w:rsidR="009633AC" w:rsidRPr="00BA1373" w14:paraId="620DE9F3" w14:textId="77777777" w:rsidTr="00E25A87">
        <w:trPr>
          <w:tblHeader/>
        </w:trPr>
        <w:tc>
          <w:tcPr>
            <w:tcW w:w="1709" w:type="pct"/>
            <w:shd w:val="clear" w:color="auto" w:fill="auto"/>
            <w:vAlign w:val="bottom"/>
          </w:tcPr>
          <w:p w14:paraId="139DC98A" w14:textId="77777777" w:rsidR="009633AC" w:rsidRPr="009716C6" w:rsidRDefault="009633AC" w:rsidP="00E25A87">
            <w:pPr>
              <w:pStyle w:val="TblTxt-Basic"/>
              <w:pBdr>
                <w:bottom w:val="single" w:sz="4" w:space="1" w:color="auto"/>
              </w:pBdr>
              <w:jc w:val="center"/>
              <w:rPr>
                <w:b/>
                <w:bCs w:val="0"/>
              </w:rPr>
            </w:pPr>
            <w:r w:rsidRPr="009716C6">
              <w:rPr>
                <w:b/>
                <w:bCs w:val="0"/>
              </w:rPr>
              <w:t>Name of Member</w:t>
            </w:r>
          </w:p>
        </w:tc>
        <w:tc>
          <w:tcPr>
            <w:tcW w:w="1645" w:type="pct"/>
            <w:shd w:val="clear" w:color="auto" w:fill="auto"/>
            <w:vAlign w:val="bottom"/>
          </w:tcPr>
          <w:p w14:paraId="27496377" w14:textId="77777777" w:rsidR="009633AC" w:rsidRPr="009716C6" w:rsidRDefault="009633AC" w:rsidP="00E25A87">
            <w:pPr>
              <w:pStyle w:val="TblTxt-Basic"/>
              <w:pBdr>
                <w:bottom w:val="single" w:sz="4" w:space="1" w:color="auto"/>
              </w:pBdr>
              <w:jc w:val="center"/>
              <w:rPr>
                <w:b/>
                <w:bCs w:val="0"/>
              </w:rPr>
            </w:pPr>
            <w:r w:rsidRPr="009716C6">
              <w:rPr>
                <w:b/>
                <w:bCs w:val="0"/>
              </w:rPr>
              <w:t>Independent</w:t>
            </w:r>
            <w:r w:rsidRPr="009716C6">
              <w:rPr>
                <w:b/>
                <w:bCs w:val="0"/>
                <w:vertAlign w:val="superscript"/>
              </w:rPr>
              <w:t>(1)</w:t>
            </w:r>
          </w:p>
        </w:tc>
        <w:tc>
          <w:tcPr>
            <w:tcW w:w="1646" w:type="pct"/>
            <w:shd w:val="clear" w:color="auto" w:fill="auto"/>
            <w:vAlign w:val="bottom"/>
          </w:tcPr>
          <w:p w14:paraId="457985C7" w14:textId="77777777" w:rsidR="009633AC" w:rsidRPr="009716C6" w:rsidRDefault="009633AC" w:rsidP="00E25A87">
            <w:pPr>
              <w:pStyle w:val="TblTxt-Basic"/>
              <w:pBdr>
                <w:bottom w:val="single" w:sz="4" w:space="1" w:color="auto"/>
              </w:pBdr>
              <w:jc w:val="center"/>
              <w:rPr>
                <w:b/>
                <w:bCs w:val="0"/>
              </w:rPr>
            </w:pPr>
            <w:r w:rsidRPr="009716C6">
              <w:rPr>
                <w:b/>
                <w:bCs w:val="0"/>
              </w:rPr>
              <w:t>Financially Literate</w:t>
            </w:r>
            <w:r w:rsidRPr="009716C6">
              <w:rPr>
                <w:b/>
                <w:bCs w:val="0"/>
                <w:vertAlign w:val="superscript"/>
              </w:rPr>
              <w:t>(2)</w:t>
            </w:r>
          </w:p>
        </w:tc>
      </w:tr>
      <w:tr w:rsidR="009633AC" w:rsidRPr="00BA1373" w14:paraId="130146FF" w14:textId="77777777" w:rsidTr="00E25A87">
        <w:tc>
          <w:tcPr>
            <w:tcW w:w="1709" w:type="pct"/>
            <w:shd w:val="clear" w:color="auto" w:fill="auto"/>
          </w:tcPr>
          <w:p w14:paraId="4AD4F421" w14:textId="77777777" w:rsidR="009633AC" w:rsidRPr="001F6DF2" w:rsidRDefault="009633AC" w:rsidP="00E25A87">
            <w:pPr>
              <w:pStyle w:val="TblTxt-Basic"/>
            </w:pPr>
            <w:r w:rsidRPr="001F6DF2">
              <w:rPr>
                <w:lang w:val="en-US"/>
              </w:rPr>
              <w:t>Line Frederiksen (chair)</w:t>
            </w:r>
          </w:p>
        </w:tc>
        <w:tc>
          <w:tcPr>
            <w:tcW w:w="1645" w:type="pct"/>
            <w:shd w:val="clear" w:color="auto" w:fill="auto"/>
          </w:tcPr>
          <w:p w14:paraId="66A6828F" w14:textId="77777777" w:rsidR="009633AC" w:rsidRPr="001F6DF2" w:rsidRDefault="009633AC" w:rsidP="00E25A87">
            <w:pPr>
              <w:pStyle w:val="TblTxt-Basic"/>
              <w:jc w:val="center"/>
            </w:pPr>
            <w:r>
              <w:t>Yes</w:t>
            </w:r>
          </w:p>
        </w:tc>
        <w:tc>
          <w:tcPr>
            <w:tcW w:w="1646" w:type="pct"/>
            <w:shd w:val="clear" w:color="auto" w:fill="auto"/>
          </w:tcPr>
          <w:p w14:paraId="1CEB895C" w14:textId="77777777" w:rsidR="009633AC" w:rsidRPr="001F6DF2" w:rsidRDefault="009633AC" w:rsidP="00E25A87">
            <w:pPr>
              <w:pStyle w:val="TblTxt-Basic"/>
              <w:jc w:val="center"/>
            </w:pPr>
            <w:r>
              <w:t>Yes</w:t>
            </w:r>
          </w:p>
        </w:tc>
      </w:tr>
      <w:tr w:rsidR="009633AC" w:rsidRPr="00BA1373" w14:paraId="2857DA91" w14:textId="77777777" w:rsidTr="00E25A87">
        <w:tc>
          <w:tcPr>
            <w:tcW w:w="1709" w:type="pct"/>
            <w:shd w:val="clear" w:color="auto" w:fill="auto"/>
          </w:tcPr>
          <w:p w14:paraId="330D5D6F" w14:textId="77777777" w:rsidR="009633AC" w:rsidRPr="001F6DF2" w:rsidRDefault="009633AC" w:rsidP="00E25A87">
            <w:pPr>
              <w:pStyle w:val="TblTxt-Basic"/>
              <w:rPr>
                <w:lang w:val="en-US"/>
              </w:rPr>
            </w:pPr>
            <w:r w:rsidRPr="001F6DF2">
              <w:rPr>
                <w:lang w:val="en-US"/>
              </w:rPr>
              <w:t>Sigurbjorn Thorkelsson</w:t>
            </w:r>
          </w:p>
        </w:tc>
        <w:tc>
          <w:tcPr>
            <w:tcW w:w="1645" w:type="pct"/>
            <w:shd w:val="clear" w:color="auto" w:fill="auto"/>
          </w:tcPr>
          <w:p w14:paraId="22C63907" w14:textId="77777777" w:rsidR="009633AC" w:rsidRDefault="009633AC" w:rsidP="00E25A87">
            <w:pPr>
              <w:pStyle w:val="TblTxt-Basic"/>
              <w:jc w:val="center"/>
            </w:pPr>
            <w:r>
              <w:t>Yes</w:t>
            </w:r>
          </w:p>
        </w:tc>
        <w:tc>
          <w:tcPr>
            <w:tcW w:w="1646" w:type="pct"/>
            <w:shd w:val="clear" w:color="auto" w:fill="auto"/>
          </w:tcPr>
          <w:p w14:paraId="298682E2" w14:textId="77777777" w:rsidR="009633AC" w:rsidRDefault="009633AC" w:rsidP="00E25A87">
            <w:pPr>
              <w:pStyle w:val="TblTxt-Basic"/>
              <w:jc w:val="center"/>
            </w:pPr>
            <w:r>
              <w:t>Yes</w:t>
            </w:r>
          </w:p>
        </w:tc>
      </w:tr>
      <w:tr w:rsidR="009633AC" w:rsidRPr="00BA1373" w14:paraId="2D125054" w14:textId="77777777" w:rsidTr="00E25A87">
        <w:tc>
          <w:tcPr>
            <w:tcW w:w="1709" w:type="pct"/>
            <w:shd w:val="clear" w:color="auto" w:fill="auto"/>
          </w:tcPr>
          <w:p w14:paraId="4D68A492" w14:textId="77777777" w:rsidR="009633AC" w:rsidRPr="001F6DF2" w:rsidRDefault="009633AC" w:rsidP="00E25A87">
            <w:pPr>
              <w:pStyle w:val="TblTxt-Basic"/>
              <w:rPr>
                <w:lang w:val="en-US"/>
              </w:rPr>
            </w:pPr>
            <w:r w:rsidRPr="001F6DF2">
              <w:rPr>
                <w:lang w:val="en-US"/>
              </w:rPr>
              <w:t>David Neuhauser</w:t>
            </w:r>
          </w:p>
        </w:tc>
        <w:tc>
          <w:tcPr>
            <w:tcW w:w="1645" w:type="pct"/>
            <w:shd w:val="clear" w:color="auto" w:fill="auto"/>
          </w:tcPr>
          <w:p w14:paraId="427E6236" w14:textId="77777777" w:rsidR="009633AC" w:rsidRDefault="009633AC" w:rsidP="00E25A87">
            <w:pPr>
              <w:pStyle w:val="TblTxt-Basic"/>
              <w:jc w:val="center"/>
            </w:pPr>
            <w:r>
              <w:t>Yes</w:t>
            </w:r>
          </w:p>
        </w:tc>
        <w:tc>
          <w:tcPr>
            <w:tcW w:w="1646" w:type="pct"/>
            <w:shd w:val="clear" w:color="auto" w:fill="auto"/>
          </w:tcPr>
          <w:p w14:paraId="058A7E0C" w14:textId="77777777" w:rsidR="009633AC" w:rsidRDefault="009633AC" w:rsidP="00E25A87">
            <w:pPr>
              <w:pStyle w:val="TblTxt-Basic"/>
              <w:jc w:val="center"/>
            </w:pPr>
            <w:r>
              <w:t>Yes</w:t>
            </w:r>
          </w:p>
        </w:tc>
      </w:tr>
      <w:tr w:rsidR="009633AC" w:rsidRPr="00BA1373" w14:paraId="1C0E3412" w14:textId="77777777" w:rsidTr="00E25A87">
        <w:tc>
          <w:tcPr>
            <w:tcW w:w="1709" w:type="pct"/>
            <w:shd w:val="clear" w:color="auto" w:fill="auto"/>
          </w:tcPr>
          <w:p w14:paraId="32A0624F" w14:textId="77777777" w:rsidR="009633AC" w:rsidRPr="001F6DF2" w:rsidRDefault="009633AC" w:rsidP="00E25A87">
            <w:pPr>
              <w:pStyle w:val="TblTxt-Basic"/>
              <w:rPr>
                <w:lang w:val="en-US"/>
              </w:rPr>
            </w:pPr>
          </w:p>
        </w:tc>
        <w:tc>
          <w:tcPr>
            <w:tcW w:w="1645" w:type="pct"/>
            <w:shd w:val="clear" w:color="auto" w:fill="auto"/>
          </w:tcPr>
          <w:p w14:paraId="4DE84897" w14:textId="77777777" w:rsidR="009633AC" w:rsidRDefault="009633AC" w:rsidP="00E25A87">
            <w:pPr>
              <w:pStyle w:val="TblTxt-Basic"/>
              <w:jc w:val="center"/>
            </w:pPr>
          </w:p>
        </w:tc>
        <w:tc>
          <w:tcPr>
            <w:tcW w:w="1646" w:type="pct"/>
            <w:shd w:val="clear" w:color="auto" w:fill="auto"/>
          </w:tcPr>
          <w:p w14:paraId="6335A52A" w14:textId="77777777" w:rsidR="009633AC" w:rsidRDefault="009633AC" w:rsidP="00E25A87">
            <w:pPr>
              <w:pStyle w:val="TblTxt-Basic"/>
              <w:jc w:val="center"/>
            </w:pPr>
          </w:p>
        </w:tc>
      </w:tr>
    </w:tbl>
    <w:p w14:paraId="67F05B05" w14:textId="77777777" w:rsidR="009633AC" w:rsidRPr="001F6DF2" w:rsidRDefault="009633AC" w:rsidP="009633AC">
      <w:pPr>
        <w:pStyle w:val="TblTxt-Notes-TitleTxt-LB"/>
      </w:pPr>
      <w:r w:rsidRPr="001F6DF2">
        <w:t>Notes:</w:t>
      </w:r>
    </w:p>
    <w:p w14:paraId="0AE0CFC6" w14:textId="77777777" w:rsidR="009633AC" w:rsidRPr="000B25DE" w:rsidRDefault="009633AC" w:rsidP="009633AC">
      <w:pPr>
        <w:pStyle w:val="TblTxt-Notes-NumberedTxt"/>
      </w:pPr>
      <w:r>
        <w:t>(1)</w:t>
      </w:r>
      <w:r>
        <w:tab/>
      </w:r>
      <w:r w:rsidRPr="000B25DE">
        <w:t>To be considered independent, a member of the Audit and Risk Management Committee must not have any direct or indirect "material relationship" with the Corporation. A "material relationship" is a relationship which could, in the view of the Corporation's board of directors, be reasonably expected to interfere with the exercise of a member's independent judgment.</w:t>
      </w:r>
    </w:p>
    <w:p w14:paraId="6D8F8331" w14:textId="77777777" w:rsidR="009633AC" w:rsidRDefault="009633AC" w:rsidP="009633AC">
      <w:pPr>
        <w:pStyle w:val="TblTxt-Notes-NumberedTxt"/>
      </w:pPr>
      <w:r w:rsidRPr="001F6DF2">
        <w:t>(2)</w:t>
      </w:r>
      <w:r>
        <w:tab/>
      </w:r>
      <w:r w:rsidRPr="001F6DF2">
        <w:t>To be considered financially literate, a member of the Audit and Risk Management Committee must have the ability to read and understand a set of financial statements that present a breadth and level of complexity of accounting issues that are generally comparable to the breadth and complexity of issues that can reasonably be expected to be raised by the Corporation's financial statements</w:t>
      </w:r>
    </w:p>
    <w:p w14:paraId="35A8EBB5" w14:textId="77777777" w:rsidR="009633AC" w:rsidRPr="00A172B0" w:rsidRDefault="009633AC" w:rsidP="009633AC">
      <w:pPr>
        <w:pStyle w:val="ProspectusL2"/>
      </w:pPr>
      <w:r w:rsidRPr="00A172B0">
        <w:t>Relevant Education and Experience</w:t>
      </w:r>
    </w:p>
    <w:p w14:paraId="2C6750CD" w14:textId="77777777" w:rsidR="009633AC" w:rsidRDefault="009633AC" w:rsidP="009633AC">
      <w:pPr>
        <w:pStyle w:val="ProspectusL3"/>
      </w:pPr>
      <w:r w:rsidRPr="00A172B0">
        <w:t>Line Frederiksen (chair)</w:t>
      </w:r>
    </w:p>
    <w:p w14:paraId="12939E58" w14:textId="77777777" w:rsidR="009633AC" w:rsidRDefault="009633AC" w:rsidP="009633AC">
      <w:pPr>
        <w:pStyle w:val="ProspectusCont3"/>
      </w:pPr>
      <w:r w:rsidRPr="00A35D61">
        <w:t xml:space="preserve">Line Frederiksen has substantial experience in Greenlandic infrastructure and is currently an independent consultant, working with </w:t>
      </w:r>
      <w:r>
        <w:t>c</w:t>
      </w:r>
      <w:r w:rsidRPr="00A35D61">
        <w:t>ompanies within the CFO services field. Further she is member of the board at Arctic Umiaq Line A/S, the national ferry services in Greenland.  Until September 2022</w:t>
      </w:r>
      <w:r>
        <w:t>,</w:t>
      </w:r>
      <w:r w:rsidRPr="00A35D61">
        <w:t xml:space="preserve"> she was CFO at Tusass (formerly Tele Greenland A/S), the leading provider of telecom solutions in Greenland, as well as being responsible for cybersecurity governance. Prior to being promoted to CFO, Ms. Frederiksen was the Head of Finance at Tele Greenland A/S and has previously had roles at Air Greenland. On February 9,</w:t>
      </w:r>
      <w:r>
        <w:t xml:space="preserve"> 2024,</w:t>
      </w:r>
      <w:r w:rsidRPr="00A35D61">
        <w:t xml:space="preserve"> Ms. Frederiksen was appointed as Chair of the Board of Directors of NunaGreen A/S, a government-owned company focused on enhancing hydro power infrastructure in Greenland and promoting green energy initiatives.</w:t>
      </w:r>
    </w:p>
    <w:p w14:paraId="442E4F97" w14:textId="77777777" w:rsidR="009633AC" w:rsidRDefault="009633AC" w:rsidP="009633AC">
      <w:pPr>
        <w:pStyle w:val="ProspectusL3"/>
      </w:pPr>
      <w:r w:rsidRPr="00A172B0">
        <w:lastRenderedPageBreak/>
        <w:t>Sigurbjorn Thorkelsson</w:t>
      </w:r>
    </w:p>
    <w:p w14:paraId="3FB0217B" w14:textId="77777777" w:rsidR="009633AC" w:rsidRPr="00A172B0" w:rsidRDefault="009633AC" w:rsidP="009633AC">
      <w:pPr>
        <w:pStyle w:val="ProspectusCont3"/>
      </w:pPr>
      <w:r w:rsidRPr="00AA19B3">
        <w:t>Siggi has over 25 years</w:t>
      </w:r>
      <w:r>
        <w:t>'</w:t>
      </w:r>
      <w:r w:rsidRPr="00AA19B3">
        <w:t xml:space="preserve"> experience in the banking and securities industry across New York, London, Tokyo, Hong Kong and his native Iceland. Mr. Thorkelsson has previously served as Managing Director at Nomura International (Hong Kong) Limited and as Head of Asia-Pacific Equities before becoming Senior Managing Director of the Nomura Group. In 2010, Mr. Thorkelsson moved to Barclays Capital (Hong Kong) as Managing Director and Head of Asia-Pacific Equities before becoming Managing Director (Head of Equities EMEA) at Barclays Capital in London in 2011. More recently, Mr. Thorkelsson has co-founded investment and securities companies in Iceland and in the UK.</w:t>
      </w:r>
    </w:p>
    <w:p w14:paraId="63014C6A" w14:textId="77777777" w:rsidR="009633AC" w:rsidRDefault="009633AC" w:rsidP="009633AC">
      <w:pPr>
        <w:pStyle w:val="ProspectusL3"/>
      </w:pPr>
      <w:r w:rsidRPr="00A172B0">
        <w:t>David Neuhauser</w:t>
      </w:r>
    </w:p>
    <w:p w14:paraId="43DD6B74" w14:textId="77777777" w:rsidR="009633AC" w:rsidRDefault="009633AC" w:rsidP="009633AC">
      <w:pPr>
        <w:pStyle w:val="ProspectusCont3"/>
      </w:pPr>
      <w:r w:rsidRPr="00E040B2">
        <w:t>David Neuhauser has extensive capital markets and M&amp;A experience and is the founder and managing director of event-driven hedge fund Livermore Partners in Chicago. He has invested in and advised global public companies for the past 21 years and has a strong track record of enhancing intrinsic value. Mr. Neuhauser currently sits on the board of Shareholders Gold Council, a Canadian corporation promoting best practices in the gold mining industry, AIM-quoted Jadestone Energy Plc, and Kolibri Global Energy Inc.</w:t>
      </w:r>
    </w:p>
    <w:p w14:paraId="20701F07" w14:textId="77777777" w:rsidR="009633AC" w:rsidRPr="00A172B0" w:rsidRDefault="009633AC" w:rsidP="009633AC">
      <w:pPr>
        <w:pStyle w:val="ProspectusCont3"/>
        <w:rPr>
          <w:lang w:val="en-US"/>
        </w:rPr>
      </w:pPr>
      <w:r w:rsidRPr="00E74481">
        <w:rPr>
          <w:lang w:val="en-US"/>
        </w:rPr>
        <w:t>For more information see "</w:t>
      </w:r>
      <w:r w:rsidRPr="00E74481">
        <w:rPr>
          <w:i/>
          <w:iCs/>
          <w:lang w:val="en-US"/>
        </w:rPr>
        <w:t>Directors and Officers</w:t>
      </w:r>
      <w:r w:rsidRPr="00E74481">
        <w:rPr>
          <w:lang w:val="en-US"/>
        </w:rPr>
        <w:t>".</w:t>
      </w:r>
    </w:p>
    <w:p w14:paraId="086319E0" w14:textId="77777777" w:rsidR="009633AC" w:rsidRPr="008A300B" w:rsidRDefault="009633AC" w:rsidP="009633AC">
      <w:pPr>
        <w:pStyle w:val="ProspectusL2"/>
      </w:pPr>
      <w:r w:rsidRPr="008A300B">
        <w:t>Reliance on Certain Exemptions</w:t>
      </w:r>
    </w:p>
    <w:p w14:paraId="5CE4610B" w14:textId="77777777" w:rsidR="009633AC" w:rsidRDefault="009633AC" w:rsidP="009633AC">
      <w:pPr>
        <w:pStyle w:val="ProspectusCont2"/>
      </w:pPr>
      <w:r w:rsidRPr="00AE505F">
        <w:t>At no time since the commencement of the Corporation's most recently completed financial year has the Corporation relied on the exemption set out in section 2.4 (</w:t>
      </w:r>
      <w:r w:rsidRPr="00AE505F">
        <w:rPr>
          <w:i/>
          <w:iCs/>
        </w:rPr>
        <w:t>De Minimis Non-audit Services</w:t>
      </w:r>
      <w:r w:rsidRPr="00AE505F">
        <w:t>), section 3.2 (</w:t>
      </w:r>
      <w:r w:rsidRPr="00AE505F">
        <w:rPr>
          <w:i/>
          <w:iCs/>
        </w:rPr>
        <w:t>Initial Public Offerings</w:t>
      </w:r>
      <w:r w:rsidRPr="00AE505F">
        <w:t>), subsection 3.3(2) (</w:t>
      </w:r>
      <w:r w:rsidRPr="00AE505F">
        <w:rPr>
          <w:i/>
          <w:iCs/>
        </w:rPr>
        <w:t>Controlled Companies</w:t>
      </w:r>
      <w:r w:rsidRPr="00AE505F">
        <w:t>), section 3.4 (</w:t>
      </w:r>
      <w:r w:rsidRPr="00AE505F">
        <w:rPr>
          <w:i/>
          <w:iCs/>
        </w:rPr>
        <w:t>Events Outside Control of Member</w:t>
      </w:r>
      <w:r w:rsidRPr="00AE505F">
        <w:t>), section 3.5 (</w:t>
      </w:r>
      <w:r w:rsidRPr="00AE505F">
        <w:rPr>
          <w:i/>
          <w:iCs/>
        </w:rPr>
        <w:t>Death, Disability or Resignation of Audit Committee Member</w:t>
      </w:r>
      <w:r w:rsidRPr="00AE505F">
        <w:t>), section 3.6 (</w:t>
      </w:r>
      <w:r w:rsidRPr="00AE505F">
        <w:rPr>
          <w:i/>
          <w:iCs/>
        </w:rPr>
        <w:t>Temporary Exemption for Limited and Exceptional Circumstances</w:t>
      </w:r>
      <w:r w:rsidRPr="00AE505F">
        <w:t>) or section 3.8 (</w:t>
      </w:r>
      <w:r w:rsidRPr="00AE505F">
        <w:rPr>
          <w:i/>
          <w:iCs/>
        </w:rPr>
        <w:t>Acquisition of Financial Literacy</w:t>
      </w:r>
      <w:r w:rsidRPr="00AE505F">
        <w:t>) of NI 52-110.</w:t>
      </w:r>
    </w:p>
    <w:p w14:paraId="406BC574" w14:textId="77777777" w:rsidR="009633AC" w:rsidRDefault="009633AC" w:rsidP="009633AC">
      <w:pPr>
        <w:pStyle w:val="ProspectusCont2"/>
        <w:rPr>
          <w:lang w:val="en-US"/>
        </w:rPr>
      </w:pPr>
      <w:r>
        <w:rPr>
          <w:lang w:val="en-US"/>
        </w:rPr>
        <w:t>During the period starting March 6, 2023 and ending September 21, 2023, the Corporation relied</w:t>
      </w:r>
      <w:r w:rsidRPr="005C6077">
        <w:rPr>
          <w:lang w:val="en-US"/>
        </w:rPr>
        <w:t xml:space="preserve"> </w:t>
      </w:r>
      <w:r w:rsidRPr="00922E6E">
        <w:rPr>
          <w:lang w:val="en-US"/>
        </w:rPr>
        <w:t xml:space="preserve">upon </w:t>
      </w:r>
      <w:r>
        <w:rPr>
          <w:lang w:val="en-US"/>
        </w:rPr>
        <w:t>an exemption from NI 52-110 granted under Part 8 (</w:t>
      </w:r>
      <w:r>
        <w:rPr>
          <w:i/>
          <w:iCs/>
          <w:lang w:val="en-US"/>
        </w:rPr>
        <w:t>Exemptions</w:t>
      </w:r>
      <w:r>
        <w:rPr>
          <w:lang w:val="en-US"/>
        </w:rPr>
        <w:t>) of NI 52-110 by the Ontario Securities Commission which permitted the Corporation to c</w:t>
      </w:r>
      <w:r w:rsidRPr="00BF43E4">
        <w:rPr>
          <w:lang w:val="en-US"/>
        </w:rPr>
        <w:t xml:space="preserve">omply with the obligations applicable to </w:t>
      </w:r>
      <w:r>
        <w:rPr>
          <w:lang w:val="en-US"/>
        </w:rPr>
        <w:t>"</w:t>
      </w:r>
      <w:r w:rsidRPr="00BF43E4">
        <w:rPr>
          <w:lang w:val="en-US"/>
        </w:rPr>
        <w:t>venture issuers</w:t>
      </w:r>
      <w:r>
        <w:rPr>
          <w:lang w:val="en-US"/>
        </w:rPr>
        <w:t>"</w:t>
      </w:r>
      <w:r w:rsidRPr="00BF43E4">
        <w:rPr>
          <w:lang w:val="en-US"/>
        </w:rPr>
        <w:t xml:space="preserve"> notwithstanding that the </w:t>
      </w:r>
      <w:r>
        <w:rPr>
          <w:lang w:val="en-US"/>
        </w:rPr>
        <w:t>Corporation</w:t>
      </w:r>
      <w:r w:rsidRPr="00BF43E4">
        <w:rPr>
          <w:lang w:val="en-US"/>
        </w:rPr>
        <w:t xml:space="preserve"> d</w:t>
      </w:r>
      <w:r>
        <w:rPr>
          <w:lang w:val="en-US"/>
        </w:rPr>
        <w:t>id</w:t>
      </w:r>
      <w:r w:rsidRPr="00BF43E4">
        <w:rPr>
          <w:lang w:val="en-US"/>
        </w:rPr>
        <w:t xml:space="preserve"> not meet the criteria in the definition of "venture issuer"</w:t>
      </w:r>
      <w:r>
        <w:rPr>
          <w:lang w:val="en-US"/>
        </w:rPr>
        <w:t>. Following the Corporation's listing of its Common Shares on the Nasdaq Iceland's main market on September 21, 2023, the Corporation ceased to be a "venture issuer" as defined in NI 51-102.</w:t>
      </w:r>
    </w:p>
    <w:p w14:paraId="0182C08C" w14:textId="77777777" w:rsidR="009633AC" w:rsidRPr="00EB1144" w:rsidRDefault="009633AC" w:rsidP="009633AC">
      <w:pPr>
        <w:pStyle w:val="ProspectusL2"/>
      </w:pPr>
      <w:r w:rsidRPr="00EB1144">
        <w:t>Audit Committee Oversight</w:t>
      </w:r>
    </w:p>
    <w:p w14:paraId="10216054" w14:textId="77777777" w:rsidR="009633AC" w:rsidRPr="00AE505F" w:rsidRDefault="009633AC" w:rsidP="009633AC">
      <w:pPr>
        <w:pStyle w:val="ProspectusCont2"/>
      </w:pPr>
      <w:r w:rsidRPr="00AE505F">
        <w:t>At no time since the commencement of the most recently completed financial year of the Corporation was a recommendation of the Audit and Risk Management Committee to nominate or compensate an external auditor not adopted by the directors of the Corporation.</w:t>
      </w:r>
    </w:p>
    <w:p w14:paraId="6B792319" w14:textId="77777777" w:rsidR="009633AC" w:rsidRDefault="009633AC" w:rsidP="009633AC">
      <w:pPr>
        <w:pStyle w:val="ProspectusL2"/>
      </w:pPr>
      <w:r w:rsidRPr="00EB1144">
        <w:t>Pre-Approval Policies and Procedures</w:t>
      </w:r>
    </w:p>
    <w:p w14:paraId="21445E59" w14:textId="77777777" w:rsidR="009633AC" w:rsidRPr="00C97F43" w:rsidRDefault="009633AC" w:rsidP="009633AC">
      <w:pPr>
        <w:pStyle w:val="ProspectusCont2"/>
      </w:pPr>
      <w:r>
        <w:t>The A</w:t>
      </w:r>
      <w:r w:rsidRPr="00C97F43">
        <w:t xml:space="preserve">udit </w:t>
      </w:r>
      <w:r>
        <w:t>and Risk Management C</w:t>
      </w:r>
      <w:r w:rsidRPr="00C97F43">
        <w:t xml:space="preserve">ommittee has </w:t>
      </w:r>
      <w:r>
        <w:t xml:space="preserve">not </w:t>
      </w:r>
      <w:r w:rsidRPr="00C97F43">
        <w:t>adopted specific policies and procedures for the engagement of non-audit services.</w:t>
      </w:r>
    </w:p>
    <w:p w14:paraId="56E4398C" w14:textId="77777777" w:rsidR="009633AC" w:rsidRDefault="009633AC" w:rsidP="009633AC">
      <w:pPr>
        <w:pStyle w:val="ProspectusL2"/>
      </w:pPr>
      <w:r w:rsidRPr="005C5592">
        <w:t>External Auditor Service Fees</w:t>
      </w:r>
    </w:p>
    <w:tbl>
      <w:tblPr>
        <w:tblStyle w:val="TableGrid"/>
        <w:tblW w:w="5000" w:type="pct"/>
        <w:tblLook w:val="04A0" w:firstRow="1" w:lastRow="0" w:firstColumn="1" w:lastColumn="0" w:noHBand="0" w:noVBand="1"/>
      </w:tblPr>
      <w:tblGrid>
        <w:gridCol w:w="2432"/>
        <w:gridCol w:w="1709"/>
        <w:gridCol w:w="2070"/>
        <w:gridCol w:w="1509"/>
        <w:gridCol w:w="1640"/>
      </w:tblGrid>
      <w:tr w:rsidR="009633AC" w:rsidRPr="005C5592" w14:paraId="5A08778A" w14:textId="77777777" w:rsidTr="00E25A87">
        <w:trPr>
          <w:tblHeader/>
        </w:trPr>
        <w:tc>
          <w:tcPr>
            <w:tcW w:w="1299" w:type="pct"/>
            <w:shd w:val="clear" w:color="auto" w:fill="auto"/>
            <w:vAlign w:val="bottom"/>
          </w:tcPr>
          <w:p w14:paraId="0C809910" w14:textId="77777777" w:rsidR="009633AC" w:rsidRPr="009716C6" w:rsidRDefault="009633AC" w:rsidP="00E25A87">
            <w:pPr>
              <w:pStyle w:val="TblTxt-Basic"/>
              <w:pBdr>
                <w:bottom w:val="single" w:sz="4" w:space="1" w:color="auto"/>
              </w:pBdr>
              <w:jc w:val="center"/>
              <w:rPr>
                <w:b/>
                <w:bCs w:val="0"/>
              </w:rPr>
            </w:pPr>
            <w:r w:rsidRPr="009716C6">
              <w:rPr>
                <w:b/>
                <w:bCs w:val="0"/>
              </w:rPr>
              <w:t>Financial Year Ending</w:t>
            </w:r>
          </w:p>
        </w:tc>
        <w:tc>
          <w:tcPr>
            <w:tcW w:w="913" w:type="pct"/>
            <w:shd w:val="clear" w:color="auto" w:fill="auto"/>
            <w:vAlign w:val="bottom"/>
          </w:tcPr>
          <w:p w14:paraId="3C7CAF30" w14:textId="77777777" w:rsidR="009633AC" w:rsidRPr="009716C6" w:rsidRDefault="009633AC" w:rsidP="00E25A87">
            <w:pPr>
              <w:pStyle w:val="TblTxt-Basic"/>
              <w:pBdr>
                <w:bottom w:val="single" w:sz="4" w:space="1" w:color="auto"/>
              </w:pBdr>
              <w:jc w:val="center"/>
              <w:rPr>
                <w:b/>
                <w:bCs w:val="0"/>
              </w:rPr>
            </w:pPr>
            <w:r w:rsidRPr="009716C6">
              <w:rPr>
                <w:b/>
                <w:bCs w:val="0"/>
              </w:rPr>
              <w:t>Audit Fees</w:t>
            </w:r>
            <w:r w:rsidRPr="009716C6">
              <w:rPr>
                <w:b/>
                <w:bCs w:val="0"/>
                <w:vertAlign w:val="superscript"/>
              </w:rPr>
              <w:t>(1)</w:t>
            </w:r>
          </w:p>
        </w:tc>
        <w:tc>
          <w:tcPr>
            <w:tcW w:w="1106" w:type="pct"/>
            <w:shd w:val="clear" w:color="auto" w:fill="auto"/>
            <w:vAlign w:val="bottom"/>
          </w:tcPr>
          <w:p w14:paraId="16599D01" w14:textId="77777777" w:rsidR="009633AC" w:rsidRPr="009716C6" w:rsidRDefault="009633AC" w:rsidP="00E25A87">
            <w:pPr>
              <w:pStyle w:val="TblTxt-Basic"/>
              <w:pBdr>
                <w:bottom w:val="single" w:sz="4" w:space="1" w:color="auto"/>
              </w:pBdr>
              <w:jc w:val="center"/>
              <w:rPr>
                <w:b/>
                <w:bCs w:val="0"/>
              </w:rPr>
            </w:pPr>
            <w:r w:rsidRPr="009716C6">
              <w:rPr>
                <w:b/>
                <w:bCs w:val="0"/>
              </w:rPr>
              <w:t>Audit-Related Fees</w:t>
            </w:r>
            <w:r w:rsidRPr="009716C6">
              <w:rPr>
                <w:b/>
                <w:bCs w:val="0"/>
                <w:vertAlign w:val="superscript"/>
              </w:rPr>
              <w:t>(2)</w:t>
            </w:r>
          </w:p>
        </w:tc>
        <w:tc>
          <w:tcPr>
            <w:tcW w:w="806" w:type="pct"/>
            <w:shd w:val="clear" w:color="auto" w:fill="auto"/>
            <w:vAlign w:val="bottom"/>
          </w:tcPr>
          <w:p w14:paraId="06E8FDAB" w14:textId="77777777" w:rsidR="009633AC" w:rsidRPr="009716C6" w:rsidRDefault="009633AC" w:rsidP="00E25A87">
            <w:pPr>
              <w:pStyle w:val="TblTxt-Basic"/>
              <w:pBdr>
                <w:bottom w:val="single" w:sz="4" w:space="1" w:color="auto"/>
              </w:pBdr>
              <w:jc w:val="center"/>
              <w:rPr>
                <w:b/>
                <w:bCs w:val="0"/>
              </w:rPr>
            </w:pPr>
            <w:r w:rsidRPr="009716C6">
              <w:rPr>
                <w:b/>
                <w:bCs w:val="0"/>
              </w:rPr>
              <w:t>Tax Fees</w:t>
            </w:r>
            <w:r w:rsidRPr="009716C6">
              <w:rPr>
                <w:b/>
                <w:bCs w:val="0"/>
                <w:vertAlign w:val="superscript"/>
              </w:rPr>
              <w:t>(3)</w:t>
            </w:r>
          </w:p>
        </w:tc>
        <w:tc>
          <w:tcPr>
            <w:tcW w:w="876" w:type="pct"/>
            <w:shd w:val="clear" w:color="auto" w:fill="auto"/>
            <w:vAlign w:val="bottom"/>
          </w:tcPr>
          <w:p w14:paraId="3358357B" w14:textId="77777777" w:rsidR="009633AC" w:rsidRPr="009716C6" w:rsidRDefault="009633AC" w:rsidP="00E25A87">
            <w:pPr>
              <w:pStyle w:val="TblTxt-Basic"/>
              <w:pBdr>
                <w:bottom w:val="single" w:sz="4" w:space="1" w:color="auto"/>
              </w:pBdr>
              <w:jc w:val="center"/>
              <w:rPr>
                <w:b/>
                <w:bCs w:val="0"/>
              </w:rPr>
            </w:pPr>
            <w:r w:rsidRPr="009716C6">
              <w:rPr>
                <w:b/>
                <w:bCs w:val="0"/>
              </w:rPr>
              <w:t>All Other Fees</w:t>
            </w:r>
            <w:r w:rsidRPr="009716C6">
              <w:rPr>
                <w:b/>
                <w:bCs w:val="0"/>
                <w:vertAlign w:val="superscript"/>
              </w:rPr>
              <w:t>(4)</w:t>
            </w:r>
          </w:p>
        </w:tc>
      </w:tr>
      <w:tr w:rsidR="009633AC" w:rsidRPr="005C5592" w14:paraId="3D8F3143" w14:textId="77777777" w:rsidTr="00E25A87">
        <w:tc>
          <w:tcPr>
            <w:tcW w:w="1299" w:type="pct"/>
            <w:shd w:val="clear" w:color="auto" w:fill="auto"/>
          </w:tcPr>
          <w:p w14:paraId="11DECA65" w14:textId="77777777" w:rsidR="009633AC" w:rsidRPr="005C5592" w:rsidRDefault="009633AC" w:rsidP="00E25A87">
            <w:pPr>
              <w:pStyle w:val="TblTxt-Basic"/>
            </w:pPr>
            <w:r w:rsidRPr="005C5592">
              <w:t>December 31, 2023</w:t>
            </w:r>
          </w:p>
        </w:tc>
        <w:tc>
          <w:tcPr>
            <w:tcW w:w="913" w:type="pct"/>
            <w:shd w:val="clear" w:color="auto" w:fill="auto"/>
          </w:tcPr>
          <w:p w14:paraId="2B072F54" w14:textId="77777777" w:rsidR="009633AC" w:rsidRPr="005C5592" w:rsidRDefault="009633AC" w:rsidP="00E25A87">
            <w:pPr>
              <w:pStyle w:val="TblTxt-Basic"/>
              <w:jc w:val="center"/>
            </w:pPr>
            <w:r w:rsidRPr="00320BB7">
              <w:t>265,098</w:t>
            </w:r>
          </w:p>
        </w:tc>
        <w:tc>
          <w:tcPr>
            <w:tcW w:w="1106" w:type="pct"/>
            <w:shd w:val="clear" w:color="auto" w:fill="auto"/>
          </w:tcPr>
          <w:p w14:paraId="4DAF6A8E" w14:textId="77777777" w:rsidR="009633AC" w:rsidRPr="005C5592" w:rsidRDefault="009633AC" w:rsidP="00E25A87">
            <w:pPr>
              <w:pStyle w:val="TblTxt-Basic"/>
              <w:jc w:val="center"/>
            </w:pPr>
            <w:r>
              <w:t>-</w:t>
            </w:r>
          </w:p>
        </w:tc>
        <w:tc>
          <w:tcPr>
            <w:tcW w:w="806" w:type="pct"/>
            <w:shd w:val="clear" w:color="auto" w:fill="auto"/>
          </w:tcPr>
          <w:p w14:paraId="5D979689" w14:textId="77777777" w:rsidR="009633AC" w:rsidRPr="005C5592" w:rsidRDefault="009633AC" w:rsidP="00E25A87">
            <w:pPr>
              <w:pStyle w:val="TblTxt-Basic"/>
              <w:jc w:val="center"/>
            </w:pPr>
            <w:r>
              <w:t>11,123</w:t>
            </w:r>
          </w:p>
        </w:tc>
        <w:tc>
          <w:tcPr>
            <w:tcW w:w="876" w:type="pct"/>
            <w:shd w:val="clear" w:color="auto" w:fill="auto"/>
          </w:tcPr>
          <w:p w14:paraId="1B76F484" w14:textId="77777777" w:rsidR="009633AC" w:rsidRPr="005C5592" w:rsidRDefault="009633AC" w:rsidP="00E25A87">
            <w:pPr>
              <w:pStyle w:val="TblTxt-Basic"/>
              <w:jc w:val="center"/>
            </w:pPr>
            <w:r>
              <w:t>-</w:t>
            </w:r>
          </w:p>
        </w:tc>
      </w:tr>
      <w:tr w:rsidR="009633AC" w14:paraId="3E56D267" w14:textId="77777777" w:rsidTr="00E25A87">
        <w:trPr>
          <w:trHeight w:val="405"/>
        </w:trPr>
        <w:tc>
          <w:tcPr>
            <w:tcW w:w="1299" w:type="pct"/>
            <w:shd w:val="clear" w:color="auto" w:fill="auto"/>
          </w:tcPr>
          <w:p w14:paraId="3961B1DB" w14:textId="77777777" w:rsidR="009633AC" w:rsidRPr="001F6DF2" w:rsidRDefault="009633AC" w:rsidP="00E25A87">
            <w:pPr>
              <w:pStyle w:val="TblTxt-Basic"/>
              <w:rPr>
                <w:lang w:val="en-US"/>
              </w:rPr>
            </w:pPr>
            <w:r w:rsidRPr="005C5592">
              <w:t>December 31, 2022</w:t>
            </w:r>
          </w:p>
        </w:tc>
        <w:tc>
          <w:tcPr>
            <w:tcW w:w="913" w:type="pct"/>
            <w:shd w:val="clear" w:color="auto" w:fill="auto"/>
          </w:tcPr>
          <w:p w14:paraId="73F0E237" w14:textId="77777777" w:rsidR="009633AC" w:rsidRDefault="009633AC" w:rsidP="00E25A87">
            <w:pPr>
              <w:pStyle w:val="TblTxt-Basic"/>
              <w:jc w:val="center"/>
            </w:pPr>
            <w:r w:rsidRPr="00320BB7">
              <w:t>137,817</w:t>
            </w:r>
          </w:p>
        </w:tc>
        <w:tc>
          <w:tcPr>
            <w:tcW w:w="1106" w:type="pct"/>
            <w:shd w:val="clear" w:color="auto" w:fill="auto"/>
          </w:tcPr>
          <w:p w14:paraId="7B235901" w14:textId="77777777" w:rsidR="009633AC" w:rsidRDefault="009633AC" w:rsidP="00E25A87">
            <w:pPr>
              <w:pStyle w:val="TblTxt-Basic"/>
              <w:jc w:val="center"/>
            </w:pPr>
            <w:r>
              <w:t>-</w:t>
            </w:r>
          </w:p>
        </w:tc>
        <w:tc>
          <w:tcPr>
            <w:tcW w:w="806" w:type="pct"/>
            <w:shd w:val="clear" w:color="auto" w:fill="auto"/>
          </w:tcPr>
          <w:p w14:paraId="161A737A" w14:textId="77777777" w:rsidR="009633AC" w:rsidRDefault="009633AC" w:rsidP="00E25A87">
            <w:pPr>
              <w:pStyle w:val="TblTxt-Basic"/>
              <w:jc w:val="center"/>
            </w:pPr>
            <w:r w:rsidRPr="00DD3631">
              <w:t>26,193</w:t>
            </w:r>
          </w:p>
        </w:tc>
        <w:tc>
          <w:tcPr>
            <w:tcW w:w="876" w:type="pct"/>
            <w:shd w:val="clear" w:color="auto" w:fill="auto"/>
          </w:tcPr>
          <w:p w14:paraId="0FCCC965" w14:textId="77777777" w:rsidR="009633AC" w:rsidRDefault="009633AC" w:rsidP="00E25A87">
            <w:pPr>
              <w:pStyle w:val="TblTxt-Basic"/>
              <w:jc w:val="center"/>
            </w:pPr>
            <w:r>
              <w:t>-</w:t>
            </w:r>
          </w:p>
        </w:tc>
      </w:tr>
    </w:tbl>
    <w:p w14:paraId="23D2816D" w14:textId="77777777" w:rsidR="009633AC" w:rsidRPr="00EB1144" w:rsidRDefault="009633AC" w:rsidP="009633AC">
      <w:pPr>
        <w:pStyle w:val="TblTxt-Notes-TitleTxt-LB"/>
      </w:pPr>
      <w:r w:rsidRPr="00EB1144">
        <w:t>Notes:</w:t>
      </w:r>
    </w:p>
    <w:p w14:paraId="5DBBFB6D" w14:textId="77777777" w:rsidR="009633AC" w:rsidRDefault="009633AC" w:rsidP="009633AC">
      <w:pPr>
        <w:pStyle w:val="TblTxt-Notes-NumberedTxt"/>
      </w:pPr>
      <w:r w:rsidRPr="00EB1144">
        <w:t>(1)</w:t>
      </w:r>
      <w:r>
        <w:tab/>
      </w:r>
      <w:r w:rsidRPr="00EB1144">
        <w:t>"</w:t>
      </w:r>
      <w:r w:rsidRPr="00EB1144">
        <w:rPr>
          <w:b/>
          <w:bCs/>
        </w:rPr>
        <w:t>Audit Fees</w:t>
      </w:r>
      <w:r w:rsidRPr="00EB1144">
        <w:t>" refers to the aggregate fees billed for audit services.</w:t>
      </w:r>
    </w:p>
    <w:p w14:paraId="0FA973B8" w14:textId="77777777" w:rsidR="009633AC" w:rsidRPr="00EB1144" w:rsidRDefault="009633AC" w:rsidP="009633AC">
      <w:pPr>
        <w:pStyle w:val="TblTxt-Notes-NumberedTxt"/>
      </w:pPr>
      <w:r>
        <w:t>(2)</w:t>
      </w:r>
      <w:r>
        <w:tab/>
      </w:r>
      <w:r w:rsidRPr="00EB1144">
        <w:t>"</w:t>
      </w:r>
      <w:r w:rsidRPr="00EB1144">
        <w:rPr>
          <w:b/>
          <w:bCs/>
        </w:rPr>
        <w:t>Audit Related Fees</w:t>
      </w:r>
      <w:r w:rsidRPr="00EB1144">
        <w:t>" refers to the aggregate fees billed for assurance and related services that are reasonably related to</w:t>
      </w:r>
      <w:r>
        <w:t xml:space="preserve"> </w:t>
      </w:r>
      <w:r w:rsidRPr="00EB1144">
        <w:t>the performance of the audit or review of the Corporation's financial statements and are not reported under "Audit Fees".</w:t>
      </w:r>
      <w:r>
        <w:t xml:space="preserve"> </w:t>
      </w:r>
    </w:p>
    <w:p w14:paraId="72C91BA1" w14:textId="77777777" w:rsidR="009633AC" w:rsidRPr="00EB1144" w:rsidRDefault="009633AC" w:rsidP="009633AC">
      <w:pPr>
        <w:pStyle w:val="TblTxt-Notes-NumberedTxt"/>
      </w:pPr>
      <w:r w:rsidRPr="00EB1144">
        <w:lastRenderedPageBreak/>
        <w:t>(3)</w:t>
      </w:r>
      <w:r>
        <w:tab/>
      </w:r>
      <w:r w:rsidRPr="00084C63">
        <w:t>"</w:t>
      </w:r>
      <w:r w:rsidRPr="00084C63">
        <w:rPr>
          <w:b/>
          <w:bCs/>
        </w:rPr>
        <w:t>Tax Fees</w:t>
      </w:r>
      <w:r w:rsidRPr="00084C63">
        <w:t xml:space="preserve">" refers to the aggregate fees billed for professional services for tax compliance, tax advice and tax planning. </w:t>
      </w:r>
    </w:p>
    <w:p w14:paraId="2835DBC3" w14:textId="77777777" w:rsidR="009633AC" w:rsidRDefault="009633AC" w:rsidP="009633AC">
      <w:pPr>
        <w:pStyle w:val="TblTxt-Notes-NumberedTxt"/>
      </w:pPr>
      <w:r w:rsidRPr="00EB1144">
        <w:t>(4)</w:t>
      </w:r>
      <w:r>
        <w:tab/>
      </w:r>
      <w:r w:rsidRPr="00EB1144">
        <w:t>"</w:t>
      </w:r>
      <w:r w:rsidRPr="00EB1144">
        <w:rPr>
          <w:b/>
          <w:bCs/>
        </w:rPr>
        <w:t>All Other Fees</w:t>
      </w:r>
      <w:r w:rsidRPr="00EB1144">
        <w:t>" refers to the aggregate fees billed for products and services, other than the services reported under</w:t>
      </w:r>
      <w:r>
        <w:t xml:space="preserve"> </w:t>
      </w:r>
      <w:r w:rsidRPr="00EB1144">
        <w:t>"Audit Fees", "Audit Related Fees" and "Tax Fees".</w:t>
      </w:r>
    </w:p>
    <w:p w14:paraId="353C8D73" w14:textId="77777777" w:rsidR="009633AC" w:rsidRPr="00124878" w:rsidRDefault="009633AC" w:rsidP="009633AC">
      <w:pPr>
        <w:pStyle w:val="ProspectusL1"/>
        <w:spacing w:before="240"/>
      </w:pPr>
      <w:bookmarkStart w:id="107" w:name="_Toc42803806"/>
      <w:bookmarkStart w:id="108" w:name="_Toc57649501"/>
      <w:bookmarkStart w:id="109" w:name="_Toc161911199"/>
      <w:r w:rsidRPr="00124878">
        <w:t>ADDITIONAL INFORMATION</w:t>
      </w:r>
      <w:bookmarkEnd w:id="107"/>
      <w:bookmarkEnd w:id="108"/>
      <w:bookmarkEnd w:id="109"/>
    </w:p>
    <w:p w14:paraId="6F0B44CC" w14:textId="77777777" w:rsidR="009633AC" w:rsidRDefault="009633AC" w:rsidP="009633AC">
      <w:pPr>
        <w:pStyle w:val="ProspectusCont1"/>
        <w:rPr>
          <w:rFonts w:eastAsiaTheme="minorHAnsi"/>
        </w:rPr>
      </w:pPr>
      <w:r w:rsidRPr="00A52F2C">
        <w:rPr>
          <w:rFonts w:eastAsiaTheme="minorHAnsi"/>
        </w:rPr>
        <w:t>Additional information, including directors' and officers' remuneration and indebtedness, principal holders of the Corporation's securities and securities authorized for issuance under equity compensation plans, as applicable, is contained in the Corporation's management information circular dated May 11, 2023, which is available on SEDAR+ (</w:t>
      </w:r>
      <w:hyperlink r:id="rId26" w:history="1">
        <w:r w:rsidRPr="00F317CC">
          <w:rPr>
            <w:rStyle w:val="Hyperlink"/>
            <w:rFonts w:eastAsiaTheme="minorHAnsi"/>
          </w:rPr>
          <w:t>www.sedarplus.ca</w:t>
        </w:r>
      </w:hyperlink>
      <w:r w:rsidRPr="00A52F2C">
        <w:rPr>
          <w:rFonts w:eastAsiaTheme="minorHAnsi"/>
        </w:rPr>
        <w:t>) under the Corporation's issuer profile. Additional financial information is provided in the Corporation's financial statements and management's discussion and analysis for the Corporation's most recently completed financial year. Additional information relating to the Corporation may also be found on SEDAR+ (</w:t>
      </w:r>
      <w:hyperlink r:id="rId27" w:history="1">
        <w:r w:rsidRPr="00F317CC">
          <w:rPr>
            <w:rStyle w:val="Hyperlink"/>
            <w:rFonts w:eastAsiaTheme="minorHAnsi"/>
          </w:rPr>
          <w:t>www.sedarplus.ca</w:t>
        </w:r>
      </w:hyperlink>
      <w:r w:rsidRPr="00A52F2C">
        <w:rPr>
          <w:rFonts w:eastAsiaTheme="minorHAnsi"/>
        </w:rPr>
        <w:t>) under the Corporation's issuer profile.</w:t>
      </w:r>
    </w:p>
    <w:p w14:paraId="1E5B4604" w14:textId="77777777" w:rsidR="009633AC" w:rsidRPr="00A52F2C" w:rsidRDefault="009633AC" w:rsidP="009633AC">
      <w:pPr>
        <w:rPr>
          <w:rFonts w:eastAsiaTheme="minorHAnsi"/>
          <w:lang w:val="en-US"/>
        </w:rPr>
      </w:pPr>
    </w:p>
    <w:p w14:paraId="2E99BD54" w14:textId="77777777" w:rsidR="009633AC" w:rsidRDefault="009633AC" w:rsidP="009633AC">
      <w:pPr>
        <w:rPr>
          <w:szCs w:val="20"/>
        </w:rPr>
        <w:sectPr w:rsidR="009633AC" w:rsidSect="001C35FD">
          <w:footerReference w:type="default" r:id="rId28"/>
          <w:footerReference w:type="first" r:id="rId29"/>
          <w:pgSz w:w="12240" w:h="15840" w:code="1"/>
          <w:pgMar w:top="1440" w:right="1440" w:bottom="1282" w:left="1440" w:header="706" w:footer="720" w:gutter="0"/>
          <w:pgNumType w:start="1"/>
          <w:cols w:space="708"/>
          <w:titlePg/>
          <w:docGrid w:linePitch="360"/>
        </w:sectPr>
      </w:pPr>
      <w:bookmarkStart w:id="110" w:name="_Toc43730496"/>
      <w:bookmarkStart w:id="111" w:name="_Toc57649502"/>
    </w:p>
    <w:p w14:paraId="5B0109FE" w14:textId="77777777" w:rsidR="009633AC" w:rsidRPr="00A52F2C" w:rsidRDefault="009633AC" w:rsidP="009633AC">
      <w:pPr>
        <w:pStyle w:val="Heading9"/>
        <w:rPr>
          <w:rFonts w:eastAsiaTheme="majorEastAsia"/>
        </w:rPr>
      </w:pPr>
      <w:bookmarkStart w:id="112" w:name="_Ref161897872"/>
      <w:bookmarkEnd w:id="110"/>
      <w:r>
        <w:rPr>
          <w:rFonts w:eastAsiaTheme="majorEastAsia"/>
        </w:rPr>
        <w:lastRenderedPageBreak/>
        <w:br/>
      </w:r>
      <w:bookmarkStart w:id="113" w:name="_Toc161911200"/>
      <w:r w:rsidRPr="00A52F2C">
        <w:rPr>
          <w:rFonts w:eastAsiaTheme="majorEastAsia"/>
        </w:rPr>
        <w:t>AUDIT AND RISK MANAGEMENT COMMITTEE CHARTER</w:t>
      </w:r>
      <w:bookmarkEnd w:id="111"/>
      <w:bookmarkEnd w:id="112"/>
      <w:bookmarkEnd w:id="113"/>
    </w:p>
    <w:p w14:paraId="51E9443E" w14:textId="77777777" w:rsidR="009633AC" w:rsidRPr="00150250" w:rsidRDefault="009633AC" w:rsidP="009633AC">
      <w:pPr>
        <w:pStyle w:val="BodyText"/>
        <w:spacing w:beforeLines="60" w:before="144" w:after="0"/>
        <w:jc w:val="center"/>
        <w:rPr>
          <w:b/>
          <w:bCs/>
          <w:lang w:val="en-US"/>
        </w:rPr>
      </w:pPr>
      <w:r w:rsidRPr="00150250">
        <w:rPr>
          <w:b/>
          <w:bCs/>
          <w:lang w:val="en-US"/>
        </w:rPr>
        <w:t xml:space="preserve">AMAROQ MINERALS LTD. </w:t>
      </w:r>
      <w:r w:rsidRPr="00150250">
        <w:rPr>
          <w:b/>
          <w:bCs/>
          <w:lang w:val="en-US"/>
        </w:rPr>
        <w:br/>
        <w:t>(the "Corporation")</w:t>
      </w:r>
    </w:p>
    <w:p w14:paraId="7CEBD8BC" w14:textId="77777777" w:rsidR="009633AC" w:rsidRPr="00150250" w:rsidRDefault="009633AC" w:rsidP="009633AC">
      <w:pPr>
        <w:pStyle w:val="BodyText"/>
        <w:spacing w:beforeLines="60" w:before="144" w:after="0"/>
        <w:rPr>
          <w:lang w:val="en-US"/>
        </w:rPr>
      </w:pPr>
      <w:r w:rsidRPr="00150250">
        <w:rPr>
          <w:lang w:val="en-US"/>
        </w:rPr>
        <w:t>The</w:t>
      </w:r>
      <w:r w:rsidRPr="00150250">
        <w:rPr>
          <w:spacing w:val="62"/>
          <w:lang w:val="en-US"/>
        </w:rPr>
        <w:t xml:space="preserve"> </w:t>
      </w:r>
      <w:r w:rsidRPr="00150250">
        <w:rPr>
          <w:lang w:val="en-US"/>
        </w:rPr>
        <w:t>following</w:t>
      </w:r>
      <w:r w:rsidRPr="00150250">
        <w:rPr>
          <w:spacing w:val="62"/>
          <w:lang w:val="en-US"/>
        </w:rPr>
        <w:t xml:space="preserve"> </w:t>
      </w:r>
      <w:r w:rsidRPr="00150250">
        <w:rPr>
          <w:lang w:val="en-US"/>
        </w:rPr>
        <w:t>charter</w:t>
      </w:r>
      <w:r w:rsidRPr="00150250">
        <w:rPr>
          <w:spacing w:val="63"/>
          <w:lang w:val="en-US"/>
        </w:rPr>
        <w:t xml:space="preserve"> </w:t>
      </w:r>
      <w:r w:rsidRPr="00150250">
        <w:rPr>
          <w:lang w:val="en-US"/>
        </w:rPr>
        <w:t>is</w:t>
      </w:r>
      <w:r w:rsidRPr="00150250">
        <w:rPr>
          <w:spacing w:val="62"/>
          <w:lang w:val="en-US"/>
        </w:rPr>
        <w:t xml:space="preserve"> </w:t>
      </w:r>
      <w:r w:rsidRPr="00150250">
        <w:rPr>
          <w:lang w:val="en-US"/>
        </w:rPr>
        <w:t>adopted</w:t>
      </w:r>
      <w:r w:rsidRPr="00150250">
        <w:rPr>
          <w:spacing w:val="63"/>
          <w:lang w:val="en-US"/>
        </w:rPr>
        <w:t xml:space="preserve"> </w:t>
      </w:r>
      <w:r w:rsidRPr="00150250">
        <w:rPr>
          <w:lang w:val="en-US"/>
        </w:rPr>
        <w:t>in</w:t>
      </w:r>
      <w:r w:rsidRPr="00150250">
        <w:rPr>
          <w:spacing w:val="62"/>
          <w:lang w:val="en-US"/>
        </w:rPr>
        <w:t xml:space="preserve"> </w:t>
      </w:r>
      <w:r w:rsidRPr="00150250">
        <w:rPr>
          <w:lang w:val="en-US"/>
        </w:rPr>
        <w:t>compliance</w:t>
      </w:r>
      <w:r w:rsidRPr="00150250">
        <w:rPr>
          <w:spacing w:val="63"/>
          <w:lang w:val="en-US"/>
        </w:rPr>
        <w:t xml:space="preserve"> </w:t>
      </w:r>
      <w:r w:rsidRPr="00150250">
        <w:rPr>
          <w:lang w:val="en-US"/>
        </w:rPr>
        <w:t>with</w:t>
      </w:r>
      <w:r w:rsidRPr="00150250">
        <w:rPr>
          <w:spacing w:val="62"/>
          <w:lang w:val="en-US"/>
        </w:rPr>
        <w:t xml:space="preserve"> </w:t>
      </w:r>
      <w:r w:rsidRPr="00150250">
        <w:rPr>
          <w:i/>
          <w:iCs/>
          <w:lang w:val="en-US"/>
        </w:rPr>
        <w:t>Regulation</w:t>
      </w:r>
      <w:r w:rsidRPr="00150250">
        <w:rPr>
          <w:i/>
          <w:iCs/>
          <w:spacing w:val="62"/>
          <w:lang w:val="en-US"/>
        </w:rPr>
        <w:t xml:space="preserve"> </w:t>
      </w:r>
      <w:r w:rsidRPr="00150250">
        <w:rPr>
          <w:i/>
          <w:iCs/>
          <w:lang w:val="en-US"/>
        </w:rPr>
        <w:t>52-110</w:t>
      </w:r>
      <w:r w:rsidRPr="00150250">
        <w:rPr>
          <w:i/>
          <w:iCs/>
          <w:spacing w:val="63"/>
          <w:lang w:val="en-US"/>
        </w:rPr>
        <w:t xml:space="preserve"> </w:t>
      </w:r>
      <w:r w:rsidRPr="00150250">
        <w:rPr>
          <w:i/>
          <w:iCs/>
          <w:lang w:val="en-US"/>
        </w:rPr>
        <w:t>respecting</w:t>
      </w:r>
      <w:r w:rsidRPr="00150250">
        <w:rPr>
          <w:i/>
          <w:iCs/>
          <w:spacing w:val="62"/>
          <w:lang w:val="en-US"/>
        </w:rPr>
        <w:t xml:space="preserve"> </w:t>
      </w:r>
      <w:r w:rsidRPr="00150250">
        <w:rPr>
          <w:i/>
          <w:iCs/>
          <w:lang w:val="en-US"/>
        </w:rPr>
        <w:t>Audit</w:t>
      </w:r>
      <w:r w:rsidRPr="00150250">
        <w:rPr>
          <w:i/>
          <w:iCs/>
          <w:spacing w:val="20"/>
          <w:lang w:val="en-US"/>
        </w:rPr>
        <w:t xml:space="preserve"> </w:t>
      </w:r>
      <w:r w:rsidRPr="00150250">
        <w:rPr>
          <w:i/>
          <w:iCs/>
          <w:lang w:val="en-US"/>
        </w:rPr>
        <w:t xml:space="preserve">Committees </w:t>
      </w:r>
      <w:r w:rsidRPr="00150250">
        <w:rPr>
          <w:spacing w:val="-2"/>
          <w:lang w:val="en-US"/>
        </w:rPr>
        <w:t>("</w:t>
      </w:r>
      <w:r w:rsidRPr="00150250">
        <w:rPr>
          <w:b/>
          <w:bCs/>
          <w:spacing w:val="-2"/>
          <w:lang w:val="en-US"/>
        </w:rPr>
        <w:t>52-110</w:t>
      </w:r>
      <w:r w:rsidRPr="00150250">
        <w:rPr>
          <w:spacing w:val="-2"/>
          <w:lang w:val="en-US"/>
        </w:rPr>
        <w:t>").</w:t>
      </w:r>
    </w:p>
    <w:p w14:paraId="7EE698CF" w14:textId="77777777" w:rsidR="009633AC" w:rsidRPr="00452F66" w:rsidRDefault="009633AC" w:rsidP="009633AC">
      <w:pPr>
        <w:pStyle w:val="Legal5L1"/>
        <w:spacing w:beforeLines="60" w:before="144" w:after="0"/>
      </w:pPr>
      <w:r w:rsidRPr="00452F66">
        <w:t>COMPOSITION</w:t>
      </w:r>
    </w:p>
    <w:p w14:paraId="6F81286B" w14:textId="77777777" w:rsidR="009633AC" w:rsidRPr="00452F66" w:rsidRDefault="009633AC" w:rsidP="009633AC">
      <w:pPr>
        <w:pStyle w:val="Legal5L2"/>
        <w:spacing w:beforeLines="60" w:before="144" w:after="0"/>
      </w:pPr>
      <w:r w:rsidRPr="00452F66">
        <w:t>The Committee shall be comprised of at least three directors, appointed by the Board, on the recommendation of the Corporate Governance and Nomination Committee. At least two of the members of the Committee shall be independent, within the meaning of 52-110 and the UK Corporate Governance Code 2018 (published by the Financial Reporting Council).</w:t>
      </w:r>
    </w:p>
    <w:p w14:paraId="48F88E60" w14:textId="77777777" w:rsidR="009633AC" w:rsidRPr="00452F66" w:rsidRDefault="009633AC" w:rsidP="009633AC">
      <w:pPr>
        <w:pStyle w:val="Legal5L2"/>
        <w:spacing w:beforeLines="60" w:before="144" w:after="0"/>
      </w:pPr>
      <w:r w:rsidRPr="00452F66">
        <w:t>At least one member of the Committee shall have recent accounting or related financial management expertise. All members of the Committee shall be financially literate.</w:t>
      </w:r>
    </w:p>
    <w:p w14:paraId="027ADC4F" w14:textId="77777777" w:rsidR="009633AC" w:rsidRPr="00452F66" w:rsidRDefault="009633AC" w:rsidP="009633AC">
      <w:pPr>
        <w:pStyle w:val="Legal5L2"/>
        <w:spacing w:beforeLines="60" w:before="144" w:after="0"/>
      </w:pPr>
      <w:r w:rsidRPr="00452F66">
        <w:t>The Committee should have an adequate balance of skills and ideally include members who, between them, have not only recent and relevant financial experience but also overall:</w:t>
      </w:r>
    </w:p>
    <w:p w14:paraId="3E627799" w14:textId="77777777" w:rsidR="009633AC" w:rsidRPr="00452F66" w:rsidRDefault="009633AC" w:rsidP="009633AC">
      <w:pPr>
        <w:pStyle w:val="Legal5L7"/>
        <w:spacing w:beforeLines="60" w:before="144" w:after="0"/>
      </w:pPr>
      <w:r w:rsidRPr="00452F66">
        <w:t>extensive business experience particularly in relation to the sector in which the Corporation operates;</w:t>
      </w:r>
    </w:p>
    <w:p w14:paraId="62930B90" w14:textId="77777777" w:rsidR="009633AC" w:rsidRPr="00452F66" w:rsidRDefault="009633AC" w:rsidP="009633AC">
      <w:pPr>
        <w:pStyle w:val="Legal5L7"/>
        <w:spacing w:beforeLines="60" w:before="144" w:after="0"/>
      </w:pPr>
      <w:r w:rsidRPr="00452F66">
        <w:t>knowledge of financial markets;</w:t>
      </w:r>
    </w:p>
    <w:p w14:paraId="3E2F8222" w14:textId="77777777" w:rsidR="009633AC" w:rsidRPr="00452F66" w:rsidRDefault="009633AC" w:rsidP="009633AC">
      <w:pPr>
        <w:pStyle w:val="Legal5L7"/>
        <w:spacing w:beforeLines="60" w:before="144" w:after="0"/>
      </w:pPr>
      <w:r w:rsidRPr="00452F66">
        <w:t>an understanding of management practices including risk management activities, both generally and in the Corporation's industry sector; and</w:t>
      </w:r>
    </w:p>
    <w:p w14:paraId="3FA01EA1" w14:textId="77777777" w:rsidR="009633AC" w:rsidRPr="00452F66" w:rsidRDefault="009633AC" w:rsidP="009633AC">
      <w:pPr>
        <w:pStyle w:val="Legal5L7"/>
        <w:spacing w:beforeLines="60" w:before="144" w:after="0"/>
      </w:pPr>
      <w:r w:rsidRPr="00452F66">
        <w:t>knowledge of any relevant specialist regulatory or legal requirements.</w:t>
      </w:r>
    </w:p>
    <w:p w14:paraId="7CC3DCE1" w14:textId="77777777" w:rsidR="009633AC" w:rsidRPr="00452F66" w:rsidRDefault="009633AC" w:rsidP="009633AC">
      <w:pPr>
        <w:pStyle w:val="Legal5L2"/>
        <w:spacing w:beforeLines="60" w:before="144" w:after="0"/>
      </w:pPr>
      <w:r w:rsidRPr="00452F66">
        <w:t>For the purposes of this charter, the definition of "financially literate" is the ability to read and understand a set of financial statements that present a breadth and level of complexity of accounting issues that are generally comparable to the breadth and complexity of the issues that can presumably be expected to be raised by the Corporation's financial statements.</w:t>
      </w:r>
    </w:p>
    <w:p w14:paraId="00FD8E24" w14:textId="77777777" w:rsidR="009633AC" w:rsidRPr="00452F66" w:rsidRDefault="009633AC" w:rsidP="009633AC">
      <w:pPr>
        <w:pStyle w:val="Legal5L2"/>
        <w:spacing w:beforeLines="60" w:before="144" w:after="0"/>
      </w:pPr>
      <w:r w:rsidRPr="00452F66">
        <w:t>The appointment of members to the Committee shall take place annually at the first meeting of the Board after a meeting of shareholders at which directors are elected. If the appointment of members of the Committee is not so made, the directors who are then serving as members of the Committee shall continue to serve as members until their successors are validly appointed. The Board may appoint a member to fill a vacancy that occurs in the Committee between annual elections of directors.</w:t>
      </w:r>
    </w:p>
    <w:p w14:paraId="1A42ABDC" w14:textId="77777777" w:rsidR="009633AC" w:rsidRPr="00452F66" w:rsidRDefault="009633AC" w:rsidP="009633AC">
      <w:pPr>
        <w:pStyle w:val="Legal5L2"/>
        <w:spacing w:beforeLines="60" w:before="144" w:after="0"/>
      </w:pPr>
      <w:r w:rsidRPr="00452F66">
        <w:t>Provided the member of the Committee continues to meet the criteria for membership of the Committee, a member of the Committee may serve for up to six years.</w:t>
      </w:r>
    </w:p>
    <w:p w14:paraId="0AC7D3EB" w14:textId="77777777" w:rsidR="009633AC" w:rsidRPr="00452F66" w:rsidRDefault="009633AC" w:rsidP="009633AC">
      <w:pPr>
        <w:pStyle w:val="Legal5L2"/>
        <w:spacing w:beforeLines="60" w:before="144" w:after="0"/>
      </w:pPr>
      <w:r w:rsidRPr="00452F66">
        <w:t>The chair of the Committee (the "</w:t>
      </w:r>
      <w:r w:rsidRPr="00452F66">
        <w:rPr>
          <w:b/>
          <w:bCs/>
        </w:rPr>
        <w:t>Chair</w:t>
      </w:r>
      <w:r w:rsidRPr="00452F66">
        <w:t>") who shall be an independent non-executive director shall be appointed by the Board on the recommendation of the Corporate Governance and Nomination Committee. The Chair of the Board may be a member of (but may not chair) the Committee provided that he or she was considered independent on appointment as chairman of the Board.</w:t>
      </w:r>
    </w:p>
    <w:p w14:paraId="2F1997CE" w14:textId="77777777" w:rsidR="009633AC" w:rsidRPr="00452F66" w:rsidRDefault="009633AC" w:rsidP="009633AC">
      <w:pPr>
        <w:pStyle w:val="Legal5L2"/>
        <w:spacing w:beforeLines="60" w:before="144" w:after="0"/>
      </w:pPr>
      <w:r w:rsidRPr="00452F66">
        <w:t>In the absence of the Chair of the Committee (or any deputy appointed by the Board) from any meeting of the Committee, the members of the Committee participating in the meeting shall elect one of their number (being a member who would qualify under these terms of reference to be appointed as the chairman of the Committee by the Board) to chair the meeting.</w:t>
      </w:r>
    </w:p>
    <w:p w14:paraId="03E1893A" w14:textId="77777777" w:rsidR="009633AC" w:rsidRPr="00452F66" w:rsidRDefault="009633AC" w:rsidP="009633AC">
      <w:pPr>
        <w:pStyle w:val="Legal5L2"/>
        <w:spacing w:beforeLines="60" w:before="144" w:after="0"/>
      </w:pPr>
      <w:r w:rsidRPr="00452F66">
        <w:t>The secretary of the Corporation (or such other person as the Committee may appoint) shall act as the secretary of the Committee and will ensure that the Committee receives information and papers in a timely manner to enable full and proper consideration to be given to the issues.</w:t>
      </w:r>
    </w:p>
    <w:p w14:paraId="7E5A278F" w14:textId="77777777" w:rsidR="009633AC" w:rsidRPr="00452F66" w:rsidRDefault="009633AC" w:rsidP="009633AC">
      <w:pPr>
        <w:pStyle w:val="Legal5L1"/>
        <w:spacing w:beforeLines="60" w:before="144" w:after="0"/>
      </w:pPr>
      <w:r w:rsidRPr="00452F66">
        <w:lastRenderedPageBreak/>
        <w:t>MEETINGS AND PROCEDURES</w:t>
      </w:r>
    </w:p>
    <w:p w14:paraId="63AC84F5" w14:textId="77777777" w:rsidR="009633AC" w:rsidRPr="00452F66" w:rsidRDefault="009633AC" w:rsidP="009633AC">
      <w:pPr>
        <w:pStyle w:val="Legal5L2"/>
        <w:spacing w:beforeLines="60" w:before="144" w:after="0"/>
      </w:pPr>
      <w:r w:rsidRPr="00452F66">
        <w:t>The Committee shall meet at least three times a year, at appropriate times in the financial reporting and audit calendar, or more frequently if required.</w:t>
      </w:r>
    </w:p>
    <w:p w14:paraId="6C7591BA" w14:textId="77777777" w:rsidR="009633AC" w:rsidRPr="00452F66" w:rsidRDefault="009633AC" w:rsidP="009633AC">
      <w:pPr>
        <w:pStyle w:val="Legal5L2"/>
        <w:spacing w:beforeLines="60" w:before="144" w:after="0"/>
      </w:pPr>
      <w:r w:rsidRPr="00452F66">
        <w:t>At all meetings of the Committee, every item brought to resolution shall be decided by a majority of the votes cast. In the case of an equality of votes, the Chair shall not be entitled to a second vote.</w:t>
      </w:r>
    </w:p>
    <w:p w14:paraId="75648DE5" w14:textId="77777777" w:rsidR="009633AC" w:rsidRPr="00452F66" w:rsidRDefault="009633AC" w:rsidP="009633AC">
      <w:pPr>
        <w:pStyle w:val="Legal5L2"/>
        <w:spacing w:beforeLines="60" w:before="144" w:after="0"/>
      </w:pPr>
      <w:r w:rsidRPr="00452F66">
        <w:t>Quorum for meetings of the Committee shall be a majority of its members (being a minimum of two members) and the rules for calling, holding, conducting and adjourning meetings of the Committee shall be the same as those governing meetings of the Board.</w:t>
      </w:r>
    </w:p>
    <w:p w14:paraId="2DA477D0" w14:textId="77777777" w:rsidR="009633AC" w:rsidRPr="00452F66" w:rsidRDefault="009633AC" w:rsidP="009633AC">
      <w:pPr>
        <w:pStyle w:val="Legal5L2"/>
        <w:spacing w:beforeLines="60" w:before="144" w:after="0"/>
      </w:pPr>
      <w:r w:rsidRPr="00452F66">
        <w:t>The powers of the Committee may be exercised at a meeting at which a quorum of the Committee is present in person or by telephone or other electronic means (including by video conference) or by a resolution signed by all members entitled to vote on that resolution at a meeting of the Committee.</w:t>
      </w:r>
    </w:p>
    <w:p w14:paraId="19953683" w14:textId="77777777" w:rsidR="009633AC" w:rsidRPr="00452F66" w:rsidRDefault="009633AC" w:rsidP="009633AC">
      <w:pPr>
        <w:pStyle w:val="Legal5L2"/>
        <w:spacing w:beforeLines="60" w:before="144" w:after="0"/>
      </w:pPr>
      <w:r w:rsidRPr="00452F66">
        <w:t>Each member (including the Chair) is entitled to one vote in Committee proceedings.</w:t>
      </w:r>
    </w:p>
    <w:p w14:paraId="0C59122A" w14:textId="77777777" w:rsidR="009633AC" w:rsidRPr="00452F66" w:rsidRDefault="009633AC" w:rsidP="009633AC">
      <w:pPr>
        <w:pStyle w:val="Legal5L2"/>
        <w:spacing w:beforeLines="60" w:before="144" w:after="0"/>
      </w:pPr>
      <w:r w:rsidRPr="00452F66">
        <w:t>The Committee may meet separately with senior management and may request that any member of the Corporation's senior management or the Corporation's outside counsel or independent auditors to attend meetings of the Committee or other meetings with any members of, or advisors to, the Committee. At least once per year the Committee should have the opportunity to have an independent, objective discussion and debate, without the presence of management and assurance providers.</w:t>
      </w:r>
    </w:p>
    <w:p w14:paraId="501A8F2D" w14:textId="77777777" w:rsidR="009633AC" w:rsidRPr="00452F66" w:rsidRDefault="009633AC" w:rsidP="009633AC">
      <w:pPr>
        <w:pStyle w:val="Legal5L2"/>
        <w:spacing w:beforeLines="60" w:before="144" w:after="0"/>
      </w:pPr>
      <w:r w:rsidRPr="00452F66">
        <w:t>Furthermore, the Committee has the authority to hire the services of outside advisors, from time to time, when it is necessary to do so for carrying out its mandate.</w:t>
      </w:r>
    </w:p>
    <w:p w14:paraId="25F39AD9" w14:textId="77777777" w:rsidR="009633AC" w:rsidRPr="00452F66" w:rsidRDefault="009633AC" w:rsidP="009633AC">
      <w:pPr>
        <w:pStyle w:val="Legal5L2"/>
        <w:spacing w:beforeLines="60" w:before="144" w:after="0"/>
      </w:pPr>
      <w:r w:rsidRPr="00452F66">
        <w:t>The Committee shall, at the meeting of the Board following its own meeting, report to the directors on its work, activities and recommendations.</w:t>
      </w:r>
    </w:p>
    <w:p w14:paraId="0D884715" w14:textId="77777777" w:rsidR="009633AC" w:rsidRPr="00452F66" w:rsidRDefault="009633AC" w:rsidP="009633AC">
      <w:pPr>
        <w:pStyle w:val="Legal5L2"/>
        <w:spacing w:beforeLines="60" w:before="144" w:after="0"/>
      </w:pPr>
      <w:r w:rsidRPr="00EB6D4B">
        <w:rPr>
          <w:lang w:val="en-US"/>
        </w:rPr>
        <w:t xml:space="preserve">Each member of the Committee must, at or prior to the commencement of each meeting of the Committee, disclose to the Committee any interest that he has in any matter to be considered at the meeting. </w:t>
      </w:r>
      <w:r w:rsidRPr="00452F66">
        <w:t>A member of the Committee must not participate in any discussions concerning, and is not entitled to vote in relation to, any matter to be considered at a meeting of the Committee in which he has a direct or indirect interest unless that interest cannot reasonably be regarded as likely to give rise to a conflict of interest.</w:t>
      </w:r>
    </w:p>
    <w:p w14:paraId="401BB8B6" w14:textId="77777777" w:rsidR="009633AC" w:rsidRPr="00452F66" w:rsidRDefault="009633AC" w:rsidP="009633AC">
      <w:pPr>
        <w:pStyle w:val="Legal5L1"/>
        <w:spacing w:beforeLines="60" w:before="144" w:after="0"/>
      </w:pPr>
      <w:r w:rsidRPr="00452F66">
        <w:t>DUTIES AND RESPONSIBILITIES</w:t>
      </w:r>
    </w:p>
    <w:p w14:paraId="0289EDEB" w14:textId="77777777" w:rsidR="009633AC" w:rsidRPr="00150250" w:rsidRDefault="009633AC" w:rsidP="009633AC">
      <w:pPr>
        <w:pStyle w:val="BodyText"/>
        <w:spacing w:beforeLines="60" w:before="144" w:after="0"/>
        <w:rPr>
          <w:lang w:val="en-US"/>
        </w:rPr>
      </w:pPr>
      <w:r w:rsidRPr="00150250">
        <w:rPr>
          <w:lang w:val="en-US"/>
        </w:rPr>
        <w:t>The following are the general duties and responsibilities of the Committee:</w:t>
      </w:r>
    </w:p>
    <w:p w14:paraId="00791502" w14:textId="77777777" w:rsidR="009633AC" w:rsidRPr="00EB6D4B" w:rsidRDefault="009633AC" w:rsidP="009633AC">
      <w:pPr>
        <w:pStyle w:val="Legal5L2"/>
        <w:keepNext/>
        <w:keepLines/>
        <w:spacing w:beforeLines="60" w:before="144" w:after="0"/>
        <w:rPr>
          <w:b/>
          <w:bCs/>
        </w:rPr>
      </w:pPr>
      <w:r w:rsidRPr="00EB6D4B">
        <w:rPr>
          <w:b/>
          <w:bCs/>
        </w:rPr>
        <w:t>Financial Statements and Disclosure Matters</w:t>
      </w:r>
    </w:p>
    <w:p w14:paraId="4027AFE4" w14:textId="77777777" w:rsidR="009633AC" w:rsidRPr="00452F66" w:rsidRDefault="009633AC" w:rsidP="009633AC">
      <w:pPr>
        <w:pStyle w:val="Legal5L3"/>
        <w:spacing w:beforeLines="60" w:before="144" w:after="0"/>
      </w:pPr>
      <w:r w:rsidRPr="00452F66">
        <w:t>review the Corporation's financial statements, management's discussion and analysis and any press releases regarding annual and interim (as required by the Board) profit or loss, before the Corporation publicly discloses such information, and any reports or other financial information which are submitted to any governmental body or to the public.</w:t>
      </w:r>
      <w:r>
        <w:t xml:space="preserve"> </w:t>
      </w:r>
      <w:r w:rsidRPr="00452F66">
        <w:t>In particular, and without limitation, the Committee shall:</w:t>
      </w:r>
    </w:p>
    <w:p w14:paraId="4D939736" w14:textId="77777777" w:rsidR="009633AC" w:rsidRPr="00EB6D4B" w:rsidRDefault="009633AC" w:rsidP="009633AC">
      <w:pPr>
        <w:pStyle w:val="Legal5L3"/>
        <w:keepNext/>
        <w:keepLines/>
        <w:spacing w:beforeLines="60" w:before="144" w:after="0"/>
      </w:pPr>
      <w:r w:rsidRPr="00EB6D4B">
        <w:t>review and, where necessary, challenge:</w:t>
      </w:r>
    </w:p>
    <w:p w14:paraId="321CD41A" w14:textId="77777777" w:rsidR="009633AC" w:rsidRPr="00452F66" w:rsidRDefault="009633AC" w:rsidP="009633AC">
      <w:pPr>
        <w:pStyle w:val="Legal5L7"/>
        <w:spacing w:beforeLines="60" w:before="144" w:after="0"/>
      </w:pPr>
      <w:r w:rsidRPr="00452F66">
        <w:t>the consistency of, and any changes to, significant accounting policies or practices on a year-on-year basis across the Corporation and its subsidiaries and ensure that such policies or practices remain appropriate;</w:t>
      </w:r>
    </w:p>
    <w:p w14:paraId="1701A8FD" w14:textId="77777777" w:rsidR="009633AC" w:rsidRPr="00452F66" w:rsidRDefault="009633AC" w:rsidP="009633AC">
      <w:pPr>
        <w:pStyle w:val="Legal5L7"/>
        <w:spacing w:beforeLines="60" w:before="144" w:after="0"/>
      </w:pPr>
      <w:r w:rsidRPr="00452F66">
        <w:t>the methods used to account for significant or unusual transactions where different approaches are possible;</w:t>
      </w:r>
    </w:p>
    <w:p w14:paraId="35BCA696" w14:textId="77777777" w:rsidR="009633AC" w:rsidRPr="00452F66" w:rsidRDefault="009633AC" w:rsidP="009633AC">
      <w:pPr>
        <w:pStyle w:val="Legal5L7"/>
        <w:spacing w:beforeLines="60" w:before="144" w:after="0"/>
      </w:pPr>
      <w:r w:rsidRPr="00452F66">
        <w:t>whether appropriate accounting standards, and whose relevant, best industry practice, have/has been complied with and appropriate estimates and judgements made, taking into account the views of the external auditor.</w:t>
      </w:r>
      <w:r>
        <w:t xml:space="preserve"> </w:t>
      </w:r>
      <w:r w:rsidRPr="00452F66">
        <w:t>Where accounting standards provide a choice, discuss that choice with management to ensure the policy selected in appropriate;</w:t>
      </w:r>
    </w:p>
    <w:p w14:paraId="214F9692" w14:textId="77777777" w:rsidR="009633AC" w:rsidRPr="00452F66" w:rsidRDefault="009633AC" w:rsidP="009633AC">
      <w:pPr>
        <w:pStyle w:val="Legal5L7"/>
        <w:spacing w:beforeLines="60" w:before="144" w:after="0"/>
      </w:pPr>
      <w:r w:rsidRPr="00452F66">
        <w:t>the clarity and completeness of disclosure in the Corporation's financial reporting and the context in which statements are made;</w:t>
      </w:r>
    </w:p>
    <w:p w14:paraId="05501CDC" w14:textId="77777777" w:rsidR="009633AC" w:rsidRPr="00452F66" w:rsidRDefault="009633AC" w:rsidP="009633AC">
      <w:pPr>
        <w:pStyle w:val="Legal5L7"/>
        <w:spacing w:beforeLines="60" w:before="144" w:after="0"/>
      </w:pPr>
      <w:r w:rsidRPr="00452F66">
        <w:lastRenderedPageBreak/>
        <w:t>all material information presented with the financial statements, such as the strategic report/operating and financial review and any corporate governance statement;</w:t>
      </w:r>
    </w:p>
    <w:p w14:paraId="6D6FD1C7" w14:textId="77777777" w:rsidR="009633AC" w:rsidRPr="00452F66" w:rsidRDefault="009633AC" w:rsidP="009633AC">
      <w:pPr>
        <w:pStyle w:val="Legal5L7"/>
        <w:spacing w:beforeLines="60" w:before="144" w:after="0"/>
      </w:pPr>
      <w:r w:rsidRPr="00452F66">
        <w:t>the appropriateness of any qualifications or assumptions and methods to deliver the financial results;</w:t>
      </w:r>
    </w:p>
    <w:p w14:paraId="75CF9F6C" w14:textId="77777777" w:rsidR="009633AC" w:rsidRPr="00452F66" w:rsidRDefault="009633AC" w:rsidP="009633AC">
      <w:pPr>
        <w:pStyle w:val="Legal5L7"/>
        <w:spacing w:beforeLines="60" w:before="144" w:after="0"/>
      </w:pPr>
      <w:r w:rsidRPr="00452F66">
        <w:t>significant adjustments resulting from audit in the financial statements; and</w:t>
      </w:r>
    </w:p>
    <w:p w14:paraId="3923F43C" w14:textId="77777777" w:rsidR="009633AC" w:rsidRPr="00452F66" w:rsidRDefault="009633AC" w:rsidP="009633AC">
      <w:pPr>
        <w:pStyle w:val="Legal5L7"/>
        <w:spacing w:beforeLines="60" w:before="144" w:after="0"/>
      </w:pPr>
      <w:r w:rsidRPr="00452F66">
        <w:t>the payment of any dividend.</w:t>
      </w:r>
      <w:r>
        <w:t xml:space="preserve"> </w:t>
      </w:r>
      <w:r w:rsidRPr="00452F66">
        <w:t>The Committee should consider the legality of any proposed dividend and the ability to pay such dividend and remain a going concern;</w:t>
      </w:r>
    </w:p>
    <w:p w14:paraId="335D8155" w14:textId="77777777" w:rsidR="009633AC" w:rsidRPr="00452F66" w:rsidRDefault="009633AC" w:rsidP="009633AC">
      <w:pPr>
        <w:pStyle w:val="Legal5L3"/>
        <w:spacing w:beforeLines="60" w:before="144" w:after="0"/>
      </w:pPr>
      <w:r w:rsidRPr="00452F66">
        <w:t xml:space="preserve">Where requested by the Board, the Committee should review the content of the annual report and accounts and advise the Board on whether, taken as a whole, it is fair, balanced and understandable and provides the information necessary for shareholders to assess the company's performance, business model and strategy; </w:t>
      </w:r>
    </w:p>
    <w:p w14:paraId="2537640F" w14:textId="77777777" w:rsidR="009633AC" w:rsidRPr="00EB6D4B" w:rsidRDefault="009633AC" w:rsidP="009633AC">
      <w:pPr>
        <w:pStyle w:val="Legal5L2"/>
        <w:keepNext/>
        <w:keepLines/>
        <w:spacing w:beforeLines="60" w:before="144" w:after="0"/>
        <w:rPr>
          <w:b/>
          <w:bCs/>
        </w:rPr>
      </w:pPr>
      <w:r w:rsidRPr="00EB6D4B">
        <w:rPr>
          <w:b/>
          <w:bCs/>
        </w:rPr>
        <w:t>Internal Controls &amp; Risk Management Systems</w:t>
      </w:r>
    </w:p>
    <w:p w14:paraId="5906668B" w14:textId="77777777" w:rsidR="009633AC" w:rsidRPr="00452F66" w:rsidRDefault="009633AC" w:rsidP="009633AC">
      <w:pPr>
        <w:pStyle w:val="Legal5L3"/>
        <w:spacing w:beforeLines="60" w:before="144" w:after="0"/>
      </w:pPr>
      <w:r w:rsidRPr="00452F66">
        <w:t>regularly review and report to the Board on the adequacy and effectiveness of the Corporation's internal financial controls and internal control and risk management systems;</w:t>
      </w:r>
      <w:r>
        <w:t xml:space="preserve"> </w:t>
      </w:r>
    </w:p>
    <w:p w14:paraId="6598CD31" w14:textId="77777777" w:rsidR="009633AC" w:rsidRPr="00452F66" w:rsidRDefault="009633AC" w:rsidP="009633AC">
      <w:pPr>
        <w:pStyle w:val="Legal5L3"/>
        <w:spacing w:beforeLines="60" w:before="144" w:after="0"/>
      </w:pPr>
      <w:r w:rsidRPr="00452F66">
        <w:t>provide support and oversight on the effectiveness of the risk management and internal control systems put in place by the Board;</w:t>
      </w:r>
    </w:p>
    <w:p w14:paraId="3204C3D1" w14:textId="77777777" w:rsidR="009633AC" w:rsidRPr="00452F66" w:rsidRDefault="009633AC" w:rsidP="009633AC">
      <w:pPr>
        <w:pStyle w:val="Legal5L3"/>
        <w:spacing w:beforeLines="60" w:before="144" w:after="0"/>
      </w:pPr>
      <w:r w:rsidRPr="00452F66">
        <w:t>work with management to determine how the Corporation's information, training and monitoring processes are used to provide assurance that the Corporation's systems of risk management and internal control are functioning as intended;</w:t>
      </w:r>
    </w:p>
    <w:p w14:paraId="7BD8FBCB" w14:textId="77777777" w:rsidR="009633AC" w:rsidRPr="00452F66" w:rsidRDefault="009633AC" w:rsidP="009633AC">
      <w:pPr>
        <w:pStyle w:val="Legal5L3"/>
        <w:spacing w:beforeLines="60" w:before="144" w:after="0"/>
      </w:pPr>
      <w:r w:rsidRPr="00452F66">
        <w:t>review and approve the statements to be included in the annual financial statements concerning internal controls and risk management;</w:t>
      </w:r>
    </w:p>
    <w:p w14:paraId="4E4096E7" w14:textId="77777777" w:rsidR="009633AC" w:rsidRPr="00452F66" w:rsidRDefault="009633AC" w:rsidP="009633AC">
      <w:pPr>
        <w:pStyle w:val="Legal5L3"/>
        <w:spacing w:beforeLines="60" w:before="144" w:after="0"/>
      </w:pPr>
      <w:r w:rsidRPr="00452F66">
        <w:t>review any internal reports on risk management;</w:t>
      </w:r>
    </w:p>
    <w:p w14:paraId="1EE9F503" w14:textId="77777777" w:rsidR="009633AC" w:rsidRPr="00452F66" w:rsidRDefault="009633AC" w:rsidP="009633AC">
      <w:pPr>
        <w:pStyle w:val="Legal5L3"/>
        <w:spacing w:beforeLines="60" w:before="144" w:after="0"/>
      </w:pPr>
      <w:r w:rsidRPr="00452F66">
        <w:t>where requested by the Board, review the approach to the identification and assessment of the emerging and principal risks of the Corporation, including the management and mitigation of those risks and the consideration of acceptable risk and tolerance levels for the Corporation; and</w:t>
      </w:r>
    </w:p>
    <w:p w14:paraId="10692672" w14:textId="77777777" w:rsidR="009633AC" w:rsidRPr="00452F66" w:rsidRDefault="009633AC" w:rsidP="009633AC">
      <w:pPr>
        <w:pStyle w:val="Legal5L3"/>
        <w:spacing w:beforeLines="60" w:before="144" w:after="0"/>
      </w:pPr>
      <w:r w:rsidRPr="00452F66">
        <w:t>where requested by the Board, provide advice on how, taking into account the Corporation's financial position and principal risks, the Corporation's prospects have been assessed, over what period and why the period is regarded as appropriate.</w:t>
      </w:r>
      <w:r>
        <w:t xml:space="preserve"> </w:t>
      </w:r>
      <w:r w:rsidRPr="00452F66">
        <w:t>The Committee will also advise on whether there is a reasonable expectation that the Corporation will be able to continue in operation and meet its liabilities as they fall due over that period, drawing attention to any qualifications or assumptions as necessary.</w:t>
      </w:r>
    </w:p>
    <w:p w14:paraId="2CF4994A" w14:textId="77777777" w:rsidR="009633AC" w:rsidRPr="00EB6D4B" w:rsidRDefault="009633AC" w:rsidP="009633AC">
      <w:pPr>
        <w:pStyle w:val="Legal5L2"/>
        <w:keepNext/>
        <w:keepLines/>
        <w:spacing w:beforeLines="60" w:before="144" w:after="0"/>
        <w:rPr>
          <w:b/>
          <w:bCs/>
        </w:rPr>
      </w:pPr>
      <w:r w:rsidRPr="00EB6D4B">
        <w:rPr>
          <w:b/>
          <w:bCs/>
        </w:rPr>
        <w:t>Independent Auditors</w:t>
      </w:r>
    </w:p>
    <w:p w14:paraId="3EA9765D" w14:textId="77777777" w:rsidR="009633AC" w:rsidRPr="00452F66" w:rsidRDefault="009633AC" w:rsidP="009633AC">
      <w:pPr>
        <w:pStyle w:val="Legal5L3"/>
        <w:spacing w:beforeLines="60" w:before="144" w:after="0"/>
      </w:pPr>
      <w:r w:rsidRPr="00452F66">
        <w:t>recommend to the Board the selection and, where applicable, the replacement of the independent auditors to be appointed annually as well the compensation of such independent auditors;</w:t>
      </w:r>
    </w:p>
    <w:p w14:paraId="062E9665" w14:textId="77777777" w:rsidR="009633AC" w:rsidRPr="00452F66" w:rsidRDefault="009633AC" w:rsidP="009633AC">
      <w:pPr>
        <w:pStyle w:val="Legal5L3"/>
        <w:spacing w:beforeLines="60" w:before="144" w:after="0"/>
      </w:pPr>
      <w:r w:rsidRPr="00452F66">
        <w:t>determine that the independent auditors appointed are a Public Accounting Firm that has entered into a Participation Agreement as such terms are defined in Regulation 52- 108 respecting Auditor Oversight and that at the time of their report on the annual financial statements of the Corporation, they are in compliance with any restrictions or sanctions imposed by the Canadian Public Accountability Board;</w:t>
      </w:r>
    </w:p>
    <w:p w14:paraId="444C548B" w14:textId="77777777" w:rsidR="009633AC" w:rsidRPr="00452F66" w:rsidRDefault="009633AC" w:rsidP="009633AC">
      <w:pPr>
        <w:pStyle w:val="Legal5L3"/>
        <w:spacing w:beforeLines="60" w:before="144" w:after="0"/>
      </w:pPr>
      <w:r w:rsidRPr="00452F66">
        <w:t>oversee the work and review annually the performance and independence of the independent auditors taking into account relevant professional and regulatory requirements and the group's relationship with the independent auditor as a whole, including any threats to the independent auditor's independence and the safeguards applied to mitigate those threats including the provision of any non-audit services;</w:t>
      </w:r>
    </w:p>
    <w:p w14:paraId="3F5426A6" w14:textId="77777777" w:rsidR="009633AC" w:rsidRPr="00452F66" w:rsidRDefault="009633AC" w:rsidP="009633AC">
      <w:pPr>
        <w:pStyle w:val="Legal5L3"/>
        <w:spacing w:beforeLines="60" w:before="144" w:after="0"/>
      </w:pPr>
      <w:r w:rsidRPr="00452F66">
        <w:t>satisfy itself that there are no relationships between the independent auditor and the Corporation (other than in the ordinary course of business) which could adversely affect the auditor's independence and objectivity;</w:t>
      </w:r>
    </w:p>
    <w:p w14:paraId="1A5B7317" w14:textId="77777777" w:rsidR="009633AC" w:rsidRPr="00452F66" w:rsidRDefault="009633AC" w:rsidP="009633AC">
      <w:pPr>
        <w:pStyle w:val="Legal5L3"/>
        <w:spacing w:beforeLines="60" w:before="144" w:after="0"/>
      </w:pPr>
      <w:r w:rsidRPr="00452F66">
        <w:t>consult with the independent auditors about the quality of the Corporation's accounting principles, internal controls and the completeness and accuracy of the Corporation's financial statements;</w:t>
      </w:r>
    </w:p>
    <w:p w14:paraId="415B0974" w14:textId="77777777" w:rsidR="009633AC" w:rsidRPr="00452F66" w:rsidRDefault="009633AC" w:rsidP="009633AC">
      <w:pPr>
        <w:pStyle w:val="Legal5L3"/>
        <w:spacing w:beforeLines="60" w:before="144" w:after="0"/>
      </w:pPr>
      <w:r w:rsidRPr="00452F66">
        <w:lastRenderedPageBreak/>
        <w:t>review and approve the Corporation's hiring policies regarding partners, employees and former partners and employees of the present and former independent auditors of the Corporation;</w:t>
      </w:r>
    </w:p>
    <w:p w14:paraId="5C8687A6" w14:textId="77777777" w:rsidR="009633AC" w:rsidRPr="00452F66" w:rsidRDefault="009633AC" w:rsidP="009633AC">
      <w:pPr>
        <w:pStyle w:val="Legal5L3"/>
        <w:spacing w:beforeLines="60" w:before="144" w:after="0"/>
      </w:pPr>
      <w:r w:rsidRPr="00452F66">
        <w:t>monitor the independent auditor's compliance with relevant legislation and ethical and professional guidance on the rotation of audit partners and the level of fees paid by the Corporation compared to the overall fee income of the firm and other related requirements;</w:t>
      </w:r>
    </w:p>
    <w:p w14:paraId="300EC359" w14:textId="77777777" w:rsidR="009633AC" w:rsidRPr="00452F66" w:rsidRDefault="009633AC" w:rsidP="009633AC">
      <w:pPr>
        <w:pStyle w:val="Legal5L3"/>
        <w:spacing w:beforeLines="60" w:before="144" w:after="0"/>
      </w:pPr>
      <w:r w:rsidRPr="00452F66">
        <w:t>assess annually the qualifications, expertise and resources of the independent auditor and the effectiveness of the external audit process, which shall include a report from the external auditor on their own internal quality procedures;</w:t>
      </w:r>
    </w:p>
    <w:p w14:paraId="4168F138" w14:textId="77777777" w:rsidR="009633AC" w:rsidRPr="00452F66" w:rsidRDefault="009633AC" w:rsidP="009633AC">
      <w:pPr>
        <w:pStyle w:val="Legal5L3"/>
        <w:spacing w:beforeLines="60" w:before="144" w:after="0"/>
      </w:pPr>
      <w:r w:rsidRPr="00452F66">
        <w:t>evaluate the risks to the quality and effectiveness of the financial reporting process and consideration of the need to include the risk of withdrawal of their auditor from the market in that evaluation;</w:t>
      </w:r>
    </w:p>
    <w:p w14:paraId="71FABA8C" w14:textId="77777777" w:rsidR="009633AC" w:rsidRPr="00452F66" w:rsidRDefault="009633AC" w:rsidP="009633AC">
      <w:pPr>
        <w:pStyle w:val="Legal5L3"/>
        <w:spacing w:beforeLines="60" w:before="144" w:after="0"/>
      </w:pPr>
      <w:r w:rsidRPr="00452F66">
        <w:t>ensure that at least once every 10 years the audit services contract is put out to tender so as to enable the Committee to compare the quality and effectiveness of the services provided by the incumbent auditor with those of other audit firms;</w:t>
      </w:r>
    </w:p>
    <w:p w14:paraId="3AD37875" w14:textId="77777777" w:rsidR="009633AC" w:rsidRPr="00452F66" w:rsidRDefault="009633AC" w:rsidP="009633AC">
      <w:pPr>
        <w:pStyle w:val="Legal5L3"/>
        <w:spacing w:beforeLines="60" w:before="144" w:after="0"/>
      </w:pPr>
      <w:r w:rsidRPr="00452F66">
        <w:t>in respect of the tender referred to in 3.3.7 above, oversee the selection process and ensure that all tendering firms have such access as is necessary to information and individuals during the duration of the tendering process;</w:t>
      </w:r>
    </w:p>
    <w:p w14:paraId="5DC0F40C" w14:textId="77777777" w:rsidR="009633AC" w:rsidRPr="00452F66" w:rsidRDefault="009633AC" w:rsidP="009633AC">
      <w:pPr>
        <w:pStyle w:val="Legal5L3"/>
        <w:spacing w:beforeLines="60" w:before="144" w:after="0"/>
      </w:pPr>
      <w:r w:rsidRPr="00452F66">
        <w:t>if an independent auditor resigns, investigate the issues leading to this and decide whether any action is required;</w:t>
      </w:r>
    </w:p>
    <w:p w14:paraId="4E5F5E81" w14:textId="77777777" w:rsidR="009633AC" w:rsidRPr="00452F66" w:rsidRDefault="009633AC" w:rsidP="009633AC">
      <w:pPr>
        <w:pStyle w:val="Legal5L3"/>
        <w:spacing w:beforeLines="60" w:before="144" w:after="0"/>
      </w:pPr>
      <w:r w:rsidRPr="00452F66">
        <w:t>meet regularly with the independent auditor (including once at the planning stage before the audit and once after the audit at the reporting stage)</w:t>
      </w:r>
      <w:r>
        <w:t xml:space="preserve"> </w:t>
      </w:r>
      <w:r w:rsidRPr="00452F66">
        <w:t>and, at least once a year, without management being present, to discuss the auditor's remit and any issues arising from the audit;</w:t>
      </w:r>
    </w:p>
    <w:p w14:paraId="3BB95527" w14:textId="77777777" w:rsidR="009633AC" w:rsidRPr="00452F66" w:rsidRDefault="009633AC" w:rsidP="009633AC">
      <w:pPr>
        <w:pStyle w:val="Legal5L3"/>
        <w:spacing w:beforeLines="60" w:before="144" w:after="0"/>
      </w:pPr>
      <w:r w:rsidRPr="00452F66">
        <w:t>discuss with the independent auditor the factors that could affect audit quality and review and approve the audit plan for the year-end financial statements and intended template for such statements, ensuring it is consistent with the scope of the audit engagement, having regard to the seniority, expertise and experience of the audit team;</w:t>
      </w:r>
    </w:p>
    <w:p w14:paraId="50048E49" w14:textId="77777777" w:rsidR="009633AC" w:rsidRPr="00452F66" w:rsidRDefault="009633AC" w:rsidP="009633AC">
      <w:pPr>
        <w:pStyle w:val="Legal5L3"/>
        <w:spacing w:beforeLines="60" w:before="144" w:after="0"/>
      </w:pPr>
      <w:r w:rsidRPr="00452F66">
        <w:t>review the findings of the audit with the independent auditor.</w:t>
      </w:r>
      <w:r>
        <w:t xml:space="preserve"> </w:t>
      </w:r>
      <w:r w:rsidRPr="00452F66">
        <w:t>This review shall include (without limitation):</w:t>
      </w:r>
    </w:p>
    <w:p w14:paraId="59D36D8B" w14:textId="77777777" w:rsidR="009633AC" w:rsidRPr="00452F66" w:rsidRDefault="009633AC" w:rsidP="009633AC">
      <w:pPr>
        <w:pStyle w:val="Legal5L4"/>
        <w:spacing w:beforeLines="60" w:before="144" w:after="0"/>
      </w:pPr>
      <w:r w:rsidRPr="00452F66">
        <w:t>a discussion of any major issues which arose during the audit;</w:t>
      </w:r>
    </w:p>
    <w:p w14:paraId="1F1E6456" w14:textId="77777777" w:rsidR="009633AC" w:rsidRPr="00452F66" w:rsidRDefault="009633AC" w:rsidP="009633AC">
      <w:pPr>
        <w:pStyle w:val="Legal5L4"/>
        <w:spacing w:beforeLines="60" w:before="144" w:after="0"/>
      </w:pPr>
      <w:r w:rsidRPr="00452F66">
        <w:t>key accounting and audit judgements;</w:t>
      </w:r>
    </w:p>
    <w:p w14:paraId="6BFBEDDD" w14:textId="77777777" w:rsidR="009633AC" w:rsidRPr="00452F66" w:rsidRDefault="009633AC" w:rsidP="009633AC">
      <w:pPr>
        <w:pStyle w:val="Legal5L4"/>
        <w:spacing w:beforeLines="60" w:before="144" w:after="0"/>
      </w:pPr>
      <w:r w:rsidRPr="00452F66">
        <w:t xml:space="preserve">the auditor's view of their interactions with senior management; </w:t>
      </w:r>
    </w:p>
    <w:p w14:paraId="3AE12116" w14:textId="77777777" w:rsidR="009633AC" w:rsidRPr="00452F66" w:rsidRDefault="009633AC" w:rsidP="009633AC">
      <w:pPr>
        <w:pStyle w:val="Legal5L4"/>
        <w:spacing w:beforeLines="60" w:before="144" w:after="0"/>
      </w:pPr>
      <w:r w:rsidRPr="00452F66">
        <w:t>the auditor's explanation of how the risks to audit quality were addressed;</w:t>
      </w:r>
    </w:p>
    <w:p w14:paraId="69BF0EC0" w14:textId="77777777" w:rsidR="009633AC" w:rsidRPr="00452F66" w:rsidRDefault="009633AC" w:rsidP="009633AC">
      <w:pPr>
        <w:pStyle w:val="Legal5L4"/>
        <w:spacing w:beforeLines="60" w:before="144" w:after="0"/>
      </w:pPr>
      <w:r w:rsidRPr="00452F66">
        <w:t>levels of errors identified during the audit; and</w:t>
      </w:r>
    </w:p>
    <w:p w14:paraId="61A5B9B5" w14:textId="77777777" w:rsidR="009633AC" w:rsidRPr="00452F66" w:rsidRDefault="009633AC" w:rsidP="009633AC">
      <w:pPr>
        <w:pStyle w:val="Legal5L4"/>
        <w:spacing w:beforeLines="60" w:before="144" w:after="0"/>
      </w:pPr>
      <w:r w:rsidRPr="00452F66">
        <w:t>the effectiveness of the audit;</w:t>
      </w:r>
    </w:p>
    <w:p w14:paraId="2DD24C6A" w14:textId="77777777" w:rsidR="009633AC" w:rsidRPr="00452F66" w:rsidRDefault="009633AC" w:rsidP="009633AC">
      <w:pPr>
        <w:pStyle w:val="Legal5L3"/>
        <w:spacing w:beforeLines="60" w:before="144" w:after="0"/>
      </w:pPr>
      <w:r w:rsidRPr="00452F66">
        <w:t>review any representation letter(s) requested by the independent auditor before they are signed by management;</w:t>
      </w:r>
    </w:p>
    <w:p w14:paraId="77CA5B6A" w14:textId="77777777" w:rsidR="009633AC" w:rsidRPr="00452F66" w:rsidRDefault="009633AC" w:rsidP="009633AC">
      <w:pPr>
        <w:pStyle w:val="Legal5L3"/>
        <w:spacing w:beforeLines="60" w:before="144" w:after="0"/>
      </w:pPr>
      <w:r w:rsidRPr="00452F66">
        <w:t xml:space="preserve">review the management letter and management's response to the independent auditor's findings and recommendations; </w:t>
      </w:r>
    </w:p>
    <w:p w14:paraId="2921FAB4" w14:textId="77777777" w:rsidR="009633AC" w:rsidRPr="00452F66" w:rsidRDefault="009633AC" w:rsidP="009633AC">
      <w:pPr>
        <w:pStyle w:val="Legal5L3"/>
        <w:spacing w:beforeLines="60" w:before="144" w:after="0"/>
      </w:pPr>
      <w:r w:rsidRPr="00452F66">
        <w:t>review the effectiveness of the audit process, including an assessment of the quality of the audit, the handling of key judgements by the independent auditor, and the independent auditor's response to questions from the Committee;</w:t>
      </w:r>
    </w:p>
    <w:p w14:paraId="179B9559" w14:textId="77777777" w:rsidR="009633AC" w:rsidRPr="00452F66" w:rsidRDefault="009633AC" w:rsidP="009633AC">
      <w:pPr>
        <w:pStyle w:val="Legal5L3"/>
        <w:spacing w:beforeLines="60" w:before="144" w:after="0"/>
      </w:pPr>
      <w:r w:rsidRPr="00452F66">
        <w:t>review and pre-approve all audit and audit-related services and the fees and other compensation related thereto (ensuring that the level of fees is appropriate to enable an effective and high-quality audit to be conducted), as well as any non-audit services provided by the independent auditors to the Corporation or its subsidiary entities. The pre-approval requirement is satisfied with respect to the provision of non-audit services if:</w:t>
      </w:r>
    </w:p>
    <w:p w14:paraId="46BD3586" w14:textId="77777777" w:rsidR="009633AC" w:rsidRPr="00452F66" w:rsidRDefault="009633AC" w:rsidP="009633AC">
      <w:pPr>
        <w:pStyle w:val="Legal5L4"/>
        <w:spacing w:beforeLines="60" w:before="144" w:after="0"/>
      </w:pPr>
      <w:r w:rsidRPr="00452F66">
        <w:lastRenderedPageBreak/>
        <w:t>the aggregate amount of all such non-audit services provided to the Corporation constitutes no more than 5% of the total amount of fees paid by the Corporation and its subsidiary entities to its independent auditors during the fiscal year in which the non-audit services are provided; and</w:t>
      </w:r>
    </w:p>
    <w:p w14:paraId="63BB2660" w14:textId="77777777" w:rsidR="009633AC" w:rsidRPr="00452F66" w:rsidRDefault="009633AC" w:rsidP="009633AC">
      <w:pPr>
        <w:pStyle w:val="Legal5L4"/>
        <w:spacing w:beforeLines="60" w:before="144" w:after="0"/>
      </w:pPr>
      <w:r w:rsidRPr="00452F66">
        <w:t>such services were not recognized by the Corporation or its subsidiary entities as non-audited services at the time of the engagement; and</w:t>
      </w:r>
    </w:p>
    <w:p w14:paraId="1DBC22C5" w14:textId="77777777" w:rsidR="009633AC" w:rsidRPr="00452F66" w:rsidRDefault="009633AC" w:rsidP="009633AC">
      <w:pPr>
        <w:pStyle w:val="Legal5L4"/>
        <w:spacing w:beforeLines="60" w:before="144" w:after="0"/>
      </w:pPr>
      <w:r w:rsidRPr="00452F66">
        <w:t>such services are promptly brought to the attention of the Committee by the Corporation and approved, prior to the completion of the audit, by the Committee or by one or more of its members to whom authority to grant such approvals has been delegated by the Committee.</w:t>
      </w:r>
    </w:p>
    <w:p w14:paraId="558E96A3" w14:textId="77777777" w:rsidR="009633AC" w:rsidRPr="00452F66" w:rsidRDefault="009633AC" w:rsidP="009633AC">
      <w:pPr>
        <w:pStyle w:val="Legal5L3"/>
        <w:spacing w:beforeLines="60" w:before="144" w:after="0"/>
      </w:pPr>
      <w:r w:rsidRPr="00452F66">
        <w:t>The Committee may delegate to one or more independent members of the Committee the aforementioned authority to pre-approve non-audited services, provided the pre- approval of the non-audit services is presented to the Committee at its first scheduled meeting following such approval;</w:t>
      </w:r>
    </w:p>
    <w:p w14:paraId="5A35D876" w14:textId="77777777" w:rsidR="009633AC" w:rsidRPr="00B676FF" w:rsidRDefault="009633AC" w:rsidP="009633AC">
      <w:pPr>
        <w:pStyle w:val="Legal5L2"/>
        <w:keepNext/>
        <w:keepLines/>
        <w:spacing w:beforeLines="60" w:before="144" w:after="0"/>
        <w:rPr>
          <w:b/>
          <w:bCs/>
        </w:rPr>
      </w:pPr>
      <w:r w:rsidRPr="00B676FF">
        <w:rPr>
          <w:b/>
          <w:bCs/>
        </w:rPr>
        <w:t>Financial Reporting Processes</w:t>
      </w:r>
    </w:p>
    <w:p w14:paraId="5EBDFA43" w14:textId="77777777" w:rsidR="009633AC" w:rsidRPr="00452F66" w:rsidRDefault="009633AC" w:rsidP="009633AC">
      <w:pPr>
        <w:pStyle w:val="Legal5L3"/>
        <w:spacing w:beforeLines="60" w:before="144" w:after="0"/>
      </w:pPr>
      <w:r w:rsidRPr="00452F66">
        <w:t>review with management, in consultation with the independent auditors, the integrity of the Corporation's financial reporting process, both internal and external;</w:t>
      </w:r>
    </w:p>
    <w:p w14:paraId="3936BC8C" w14:textId="77777777" w:rsidR="009633AC" w:rsidRPr="00452F66" w:rsidRDefault="009633AC" w:rsidP="009633AC">
      <w:pPr>
        <w:pStyle w:val="Legal5L3"/>
        <w:spacing w:beforeLines="60" w:before="144" w:after="0"/>
      </w:pPr>
      <w:r w:rsidRPr="00452F66">
        <w:t>consider the independent auditor's judgments about the quality and appropriateness of the Corporation's accounting principles as applied in its financial reporting;</w:t>
      </w:r>
    </w:p>
    <w:p w14:paraId="03EC2965" w14:textId="77777777" w:rsidR="009633AC" w:rsidRPr="00452F66" w:rsidRDefault="009633AC" w:rsidP="009633AC">
      <w:pPr>
        <w:pStyle w:val="Legal5L3"/>
        <w:spacing w:beforeLines="60" w:before="144" w:after="0"/>
      </w:pPr>
      <w:r w:rsidRPr="00452F66">
        <w:t>consider and report to the Board changes to the Corporation's auditing and accounting principles and practices as suggested by the independent auditors and management;</w:t>
      </w:r>
    </w:p>
    <w:p w14:paraId="15FCB5B3" w14:textId="77777777" w:rsidR="009633AC" w:rsidRPr="00452F66" w:rsidRDefault="009633AC" w:rsidP="009633AC">
      <w:pPr>
        <w:pStyle w:val="Legal5L3"/>
        <w:spacing w:beforeLines="60" w:before="144" w:after="0"/>
      </w:pPr>
      <w:r w:rsidRPr="00452F66">
        <w:t>review any significant disagreement among management and the independent auditors in connection with the preparation of the financial statements;</w:t>
      </w:r>
    </w:p>
    <w:p w14:paraId="1AD35BBC" w14:textId="77777777" w:rsidR="009633AC" w:rsidRPr="00452F66" w:rsidRDefault="009633AC" w:rsidP="009633AC">
      <w:pPr>
        <w:pStyle w:val="Legal5L3"/>
        <w:spacing w:beforeLines="60" w:before="144" w:after="0"/>
      </w:pPr>
      <w:r w:rsidRPr="00452F66">
        <w:t>review, with the independent auditors and management, the extent to which changes and improvements in financial or accounting practices have been implemented; and</w:t>
      </w:r>
    </w:p>
    <w:p w14:paraId="39730E9E" w14:textId="77777777" w:rsidR="009633AC" w:rsidRPr="00452F66" w:rsidRDefault="009633AC" w:rsidP="009633AC">
      <w:pPr>
        <w:pStyle w:val="Legal5L3"/>
        <w:spacing w:beforeLines="60" w:before="144" w:after="0"/>
      </w:pPr>
      <w:r w:rsidRPr="00452F66">
        <w:t>establish procedures for the confidential, anonymous submission by employees of the Corporation of concerns regarding questionable accounting or auditing matters and the receipt, retention and treatment of complaints received by the Corporation regarding accounting, internal accounting controls or auditing matters;</w:t>
      </w:r>
    </w:p>
    <w:p w14:paraId="0E049CA4" w14:textId="77777777" w:rsidR="009633AC" w:rsidRPr="00B676FF" w:rsidRDefault="009633AC" w:rsidP="009633AC">
      <w:pPr>
        <w:pStyle w:val="Legal5L2"/>
        <w:keepNext/>
        <w:keepLines/>
        <w:spacing w:beforeLines="60" w:before="144" w:after="0"/>
        <w:rPr>
          <w:b/>
          <w:bCs/>
        </w:rPr>
      </w:pPr>
      <w:r w:rsidRPr="00B676FF">
        <w:rPr>
          <w:b/>
          <w:bCs/>
        </w:rPr>
        <w:t>Risk Management</w:t>
      </w:r>
    </w:p>
    <w:p w14:paraId="61F9FFDD" w14:textId="77777777" w:rsidR="009633AC" w:rsidRPr="00452F66" w:rsidRDefault="009633AC" w:rsidP="009633AC">
      <w:pPr>
        <w:pStyle w:val="Legal5L3"/>
        <w:spacing w:beforeLines="60" w:before="144" w:after="0"/>
      </w:pPr>
      <w:r w:rsidRPr="00452F66">
        <w:t>regularly review and report to the Board on the adequacy and effectiveness of the Corporation's internal financial controls and internal control and risk management systems;</w:t>
      </w:r>
      <w:r>
        <w:t xml:space="preserve"> </w:t>
      </w:r>
    </w:p>
    <w:p w14:paraId="4ED9BBA4" w14:textId="77777777" w:rsidR="009633AC" w:rsidRPr="00452F66" w:rsidRDefault="009633AC" w:rsidP="009633AC">
      <w:pPr>
        <w:pStyle w:val="Legal5L3"/>
        <w:spacing w:beforeLines="60" w:before="144" w:after="0"/>
      </w:pPr>
      <w:r w:rsidRPr="00452F66">
        <w:t>oversee the identification, prioritisation and management of the risks faced by the Corporation;</w:t>
      </w:r>
    </w:p>
    <w:p w14:paraId="1200742C" w14:textId="77777777" w:rsidR="009633AC" w:rsidRPr="00452F66" w:rsidRDefault="009633AC" w:rsidP="009633AC">
      <w:pPr>
        <w:pStyle w:val="Legal5L3"/>
        <w:spacing w:beforeLines="60" w:before="144" w:after="0"/>
      </w:pPr>
      <w:r w:rsidRPr="00452F66">
        <w:t>direct the facilitation of risk assessments and measurement to determine the material risks to which the Corporation may be exposed and to evaluate the strategy for managing those risks;</w:t>
      </w:r>
    </w:p>
    <w:p w14:paraId="36757D8C" w14:textId="77777777" w:rsidR="009633AC" w:rsidRPr="00452F66" w:rsidRDefault="009633AC" w:rsidP="009633AC">
      <w:pPr>
        <w:pStyle w:val="Legal5L3"/>
        <w:spacing w:beforeLines="60" w:before="144" w:after="0"/>
      </w:pPr>
      <w:r w:rsidRPr="00452F66">
        <w:t>monitor the changes in the internal and external environment and the emergence of new risks;</w:t>
      </w:r>
    </w:p>
    <w:p w14:paraId="545E3B3A" w14:textId="77777777" w:rsidR="009633AC" w:rsidRPr="00452F66" w:rsidRDefault="009633AC" w:rsidP="009633AC">
      <w:pPr>
        <w:pStyle w:val="Legal5L3"/>
        <w:spacing w:beforeLines="60" w:before="144" w:after="0"/>
      </w:pPr>
      <w:r w:rsidRPr="00452F66">
        <w:t>review the adequacy of insurance coverage;</w:t>
      </w:r>
    </w:p>
    <w:p w14:paraId="3E12F1F8" w14:textId="77777777" w:rsidR="009633AC" w:rsidRPr="00452F66" w:rsidRDefault="009633AC" w:rsidP="009633AC">
      <w:pPr>
        <w:pStyle w:val="Legal5L3"/>
        <w:spacing w:beforeLines="60" w:before="144" w:after="0"/>
      </w:pPr>
      <w:r w:rsidRPr="00452F66">
        <w:t>review and approve the statements to be included in the annual report concerning internal controls and risk management;</w:t>
      </w:r>
    </w:p>
    <w:p w14:paraId="77D97F06" w14:textId="77777777" w:rsidR="009633AC" w:rsidRPr="00452F66" w:rsidRDefault="009633AC" w:rsidP="009633AC">
      <w:pPr>
        <w:pStyle w:val="Legal5L3"/>
        <w:spacing w:beforeLines="60" w:before="144" w:after="0"/>
      </w:pPr>
      <w:r w:rsidRPr="00452F66">
        <w:t>monitor the procedures to deal with and review disclosure of information to third parties insofar as these disclosure represent a risk for the Corporation;</w:t>
      </w:r>
    </w:p>
    <w:p w14:paraId="6DEAF167" w14:textId="77777777" w:rsidR="009633AC" w:rsidRPr="00452F66" w:rsidRDefault="009633AC" w:rsidP="009633AC">
      <w:pPr>
        <w:pStyle w:val="Legal5L3"/>
        <w:spacing w:beforeLines="60" w:before="144" w:after="0"/>
      </w:pPr>
      <w:r w:rsidRPr="00452F66">
        <w:t>where requested by the Board, review the approach to the identification and assessment of the emerging and principal risks of the Corporation, including the management and mitigation of those risks and the consideration of acceptable risk and tolerance levels for the Corporation; and</w:t>
      </w:r>
    </w:p>
    <w:p w14:paraId="693BEFBB" w14:textId="77777777" w:rsidR="009633AC" w:rsidRPr="00452F66" w:rsidRDefault="009633AC" w:rsidP="009633AC">
      <w:pPr>
        <w:pStyle w:val="Legal5L3"/>
        <w:spacing w:beforeLines="60" w:before="144" w:after="0"/>
      </w:pPr>
      <w:r w:rsidRPr="00452F66">
        <w:t xml:space="preserve">where requested by the Board, provide advice on how, taking into account the Corporation's financial position and principal risks, the Corporation's prospects have been assessed, over what period and why the period is </w:t>
      </w:r>
      <w:r w:rsidRPr="00452F66">
        <w:lastRenderedPageBreak/>
        <w:t>regarded as appropriate.</w:t>
      </w:r>
      <w:r>
        <w:t xml:space="preserve"> </w:t>
      </w:r>
      <w:r w:rsidRPr="00452F66">
        <w:t>The Committee will also advise on whether there is a reasonable expectation that the Corporation will be able to continue in operation and meet its liabilities as they fall due over that period, drawing attention to any qualifications or assumptions as necessary;</w:t>
      </w:r>
    </w:p>
    <w:p w14:paraId="3B68C7C1" w14:textId="77777777" w:rsidR="009633AC" w:rsidRPr="00B676FF" w:rsidRDefault="009633AC" w:rsidP="009633AC">
      <w:pPr>
        <w:pStyle w:val="Legal5L2"/>
        <w:keepNext/>
        <w:keepLines/>
        <w:spacing w:beforeLines="60" w:before="144" w:after="0"/>
        <w:rPr>
          <w:b/>
          <w:bCs/>
        </w:rPr>
      </w:pPr>
      <w:r w:rsidRPr="00B676FF">
        <w:rPr>
          <w:b/>
          <w:bCs/>
        </w:rPr>
        <w:t>Compliance, whistleblowing and fraud</w:t>
      </w:r>
    </w:p>
    <w:p w14:paraId="3DC40364" w14:textId="77777777" w:rsidR="009633AC" w:rsidRPr="00452F66" w:rsidRDefault="009633AC" w:rsidP="009633AC">
      <w:pPr>
        <w:pStyle w:val="Legal5L3"/>
        <w:spacing w:beforeLines="60" w:before="144" w:after="0"/>
      </w:pPr>
      <w:r w:rsidRPr="00452F66">
        <w:t>monitor the adequacy of, and review compliance with, the Corporation's Whistleblowing Policy;</w:t>
      </w:r>
    </w:p>
    <w:p w14:paraId="23C2E9B9" w14:textId="77777777" w:rsidR="009633AC" w:rsidRPr="00452F66" w:rsidRDefault="009633AC" w:rsidP="009633AC">
      <w:pPr>
        <w:pStyle w:val="Legal5L3"/>
        <w:spacing w:beforeLines="60" w:before="144" w:after="0"/>
      </w:pPr>
      <w:r w:rsidRPr="00452F66">
        <w:t>establish a procedure for the receipt and treatment of complaints received by the Corporation regarding accounting, internal accounting controls or auditing matters;</w:t>
      </w:r>
    </w:p>
    <w:p w14:paraId="078D223F" w14:textId="77777777" w:rsidR="009633AC" w:rsidRPr="00452F66" w:rsidRDefault="009633AC" w:rsidP="009633AC">
      <w:pPr>
        <w:pStyle w:val="Legal5L3"/>
        <w:spacing w:beforeLines="60" w:before="144" w:after="0"/>
      </w:pPr>
      <w:r w:rsidRPr="00452F66">
        <w:t>review the Corporation's procedures for detecting fraud;</w:t>
      </w:r>
    </w:p>
    <w:p w14:paraId="4C677BAA" w14:textId="77777777" w:rsidR="009633AC" w:rsidRPr="00452F66" w:rsidRDefault="009633AC" w:rsidP="009633AC">
      <w:pPr>
        <w:pStyle w:val="Legal5L3"/>
        <w:spacing w:beforeLines="60" w:before="144" w:after="0"/>
      </w:pPr>
      <w:r w:rsidRPr="00452F66">
        <w:t>review the Corporation's systems, processes and controls for ensuring compliance with applicable laws and standards including, without limitation, for the prevention of bribery, money-laundering, corporate criminal offences and data protection and receive reports on any instances of non-compliance; and</w:t>
      </w:r>
    </w:p>
    <w:p w14:paraId="39000C1D" w14:textId="77777777" w:rsidR="009633AC" w:rsidRPr="00452F66" w:rsidRDefault="009633AC" w:rsidP="009633AC">
      <w:pPr>
        <w:pStyle w:val="Legal5L3"/>
        <w:spacing w:beforeLines="60" w:before="144" w:after="0"/>
      </w:pPr>
      <w:r w:rsidRPr="00452F66">
        <w:t>review the Corporation's processes for preparing co-ordinated plans for business continuity;</w:t>
      </w:r>
    </w:p>
    <w:p w14:paraId="51DD88D4" w14:textId="77777777" w:rsidR="009633AC" w:rsidRPr="00B676FF" w:rsidRDefault="009633AC" w:rsidP="009633AC">
      <w:pPr>
        <w:pStyle w:val="Legal5L2"/>
        <w:keepNext/>
        <w:keepLines/>
        <w:spacing w:beforeLines="60" w:before="144" w:after="0"/>
        <w:rPr>
          <w:b/>
          <w:bCs/>
        </w:rPr>
      </w:pPr>
      <w:r w:rsidRPr="00B676FF">
        <w:rPr>
          <w:b/>
          <w:bCs/>
        </w:rPr>
        <w:t>Reporting Responsibilities</w:t>
      </w:r>
    </w:p>
    <w:p w14:paraId="3AD7141E" w14:textId="77777777" w:rsidR="009633AC" w:rsidRPr="00452F66" w:rsidRDefault="009633AC" w:rsidP="009633AC">
      <w:pPr>
        <w:pStyle w:val="Legal5L3"/>
        <w:spacing w:beforeLines="60" w:before="144" w:after="0"/>
      </w:pPr>
      <w:r w:rsidRPr="00452F66">
        <w:t>the Committee chairman shall report to the Board on its proceedings after each meeting on all matters within its duties and responsibilities. The report shall include:</w:t>
      </w:r>
    </w:p>
    <w:p w14:paraId="682B9A56" w14:textId="77777777" w:rsidR="009633AC" w:rsidRPr="00452F66" w:rsidRDefault="009633AC" w:rsidP="009633AC">
      <w:pPr>
        <w:pStyle w:val="Legal5L4"/>
        <w:spacing w:beforeLines="60" w:before="144" w:after="0"/>
      </w:pPr>
      <w:r w:rsidRPr="00452F66">
        <w:t>the significant issues that the Committee considered in relation to the financial statements, and how these issues were addressed;</w:t>
      </w:r>
    </w:p>
    <w:p w14:paraId="6BCCD478" w14:textId="77777777" w:rsidR="009633AC" w:rsidRPr="00452F66" w:rsidRDefault="009633AC" w:rsidP="009633AC">
      <w:pPr>
        <w:pStyle w:val="Legal5L4"/>
        <w:spacing w:beforeLines="60" w:before="144" w:after="0"/>
      </w:pPr>
      <w:r w:rsidRPr="00452F66">
        <w:t>the assessment of the effectiveness of the independent audit process and its recommendations on the appointment or reappointment of the independent auditor; and</w:t>
      </w:r>
    </w:p>
    <w:p w14:paraId="2BFFE9C5" w14:textId="77777777" w:rsidR="009633AC" w:rsidRPr="00452F66" w:rsidRDefault="009633AC" w:rsidP="009633AC">
      <w:pPr>
        <w:pStyle w:val="Legal5L4"/>
        <w:spacing w:beforeLines="60" w:before="144" w:after="0"/>
      </w:pPr>
      <w:r w:rsidRPr="00452F66">
        <w:t>any other issues on which the Board has requested the Committee's opinion;</w:t>
      </w:r>
    </w:p>
    <w:p w14:paraId="13B7ECE2" w14:textId="77777777" w:rsidR="009633AC" w:rsidRPr="00452F66" w:rsidRDefault="009633AC" w:rsidP="009633AC">
      <w:pPr>
        <w:pStyle w:val="Legal5L3"/>
        <w:spacing w:beforeLines="60" w:before="144" w:after="0"/>
      </w:pPr>
      <w:r w:rsidRPr="00452F66">
        <w:t xml:space="preserve">the Committee shall make whatever recommendations to the Board it deems appropriate on any area within its remit where action or improvement is needed; </w:t>
      </w:r>
    </w:p>
    <w:p w14:paraId="12074411" w14:textId="77777777" w:rsidR="009633AC" w:rsidRPr="00452F66" w:rsidRDefault="009633AC" w:rsidP="009633AC">
      <w:pPr>
        <w:pStyle w:val="Legal5L3"/>
        <w:keepNext/>
        <w:keepLines/>
        <w:spacing w:beforeLines="60" w:before="144" w:after="0"/>
      </w:pPr>
      <w:r w:rsidRPr="00452F66">
        <w:t>in addition, the Committee shall report to the Board on a regular basis, and in any event:</w:t>
      </w:r>
    </w:p>
    <w:p w14:paraId="3BCAE8DD" w14:textId="77777777" w:rsidR="009633AC" w:rsidRPr="00452F66" w:rsidRDefault="009633AC" w:rsidP="009633AC">
      <w:pPr>
        <w:pStyle w:val="Legal5L4"/>
        <w:spacing w:beforeLines="60" w:before="144" w:after="0"/>
      </w:pPr>
      <w:r w:rsidRPr="00452F66">
        <w:t>at least annually, with an assessment of the performance of management in the preparation of financial statements and Auditors in conducting the annual audit of the Corporation and discuss the report with the full Board following the end of each fiscal year;</w:t>
      </w:r>
    </w:p>
    <w:p w14:paraId="725431F6" w14:textId="77777777" w:rsidR="009633AC" w:rsidRPr="00452F66" w:rsidRDefault="009633AC" w:rsidP="009633AC">
      <w:pPr>
        <w:pStyle w:val="Legal5L4"/>
        <w:spacing w:beforeLines="60" w:before="144" w:after="0"/>
      </w:pPr>
      <w:r w:rsidRPr="00452F66">
        <w:t>before the public disclosure by the Corporation of its financial statements, management's discussion and analysis and any press releases regarding annual and interim profit or loss and any reports or other financial information which are submitted to any governmental body or to the public; and</w:t>
      </w:r>
    </w:p>
    <w:p w14:paraId="230D95BE" w14:textId="77777777" w:rsidR="009633AC" w:rsidRPr="00452F66" w:rsidRDefault="009633AC" w:rsidP="009633AC">
      <w:pPr>
        <w:pStyle w:val="Legal5L4"/>
        <w:spacing w:beforeLines="60" w:before="144" w:after="0"/>
      </w:pPr>
      <w:r w:rsidRPr="00452F66">
        <w:t xml:space="preserve">as required by applicable legislation, regulatory requirements and policies of the Canadian Securities Administrators, the London Stock Exchange and the United Kingdom Financial Conduct Authority; </w:t>
      </w:r>
    </w:p>
    <w:p w14:paraId="5B3658BD" w14:textId="77777777" w:rsidR="009633AC" w:rsidRPr="00452F66" w:rsidRDefault="009633AC" w:rsidP="009633AC">
      <w:pPr>
        <w:pStyle w:val="Legal5L3"/>
        <w:spacing w:beforeLines="60" w:before="144" w:after="0"/>
      </w:pPr>
      <w:r w:rsidRPr="00452F66">
        <w:t>the Chair should attend the Corporation's annual general meeting to answer any shareholder questions on the Committee's activities; and</w:t>
      </w:r>
    </w:p>
    <w:p w14:paraId="4EF725C6" w14:textId="77777777" w:rsidR="009633AC" w:rsidRPr="00452F66" w:rsidRDefault="009633AC" w:rsidP="009633AC">
      <w:pPr>
        <w:pStyle w:val="Legal5L3"/>
        <w:spacing w:beforeLines="60" w:before="144" w:after="0"/>
      </w:pPr>
      <w:r w:rsidRPr="00452F66">
        <w:t>where the Committee is not satisfied with any aspect of the proposed financial reporting by the Corporation, it shall report its views to the Board.</w:t>
      </w:r>
    </w:p>
    <w:p w14:paraId="7A70F1F8" w14:textId="77777777" w:rsidR="009633AC" w:rsidRPr="00B676FF" w:rsidRDefault="009633AC" w:rsidP="009633AC">
      <w:pPr>
        <w:pStyle w:val="Legal5L2"/>
        <w:keepNext/>
        <w:keepLines/>
        <w:spacing w:beforeLines="60" w:before="144" w:after="0"/>
        <w:rPr>
          <w:b/>
          <w:bCs/>
        </w:rPr>
      </w:pPr>
      <w:r w:rsidRPr="00B676FF">
        <w:rPr>
          <w:b/>
          <w:bCs/>
        </w:rPr>
        <w:t>Annual Evaluation</w:t>
      </w:r>
    </w:p>
    <w:p w14:paraId="59FFBD84" w14:textId="77777777" w:rsidR="009633AC" w:rsidRPr="00452F66" w:rsidRDefault="009633AC" w:rsidP="009633AC">
      <w:pPr>
        <w:pStyle w:val="Legal5L3"/>
        <w:spacing w:beforeLines="60" w:before="144" w:after="0"/>
      </w:pPr>
      <w:r w:rsidRPr="00452F66">
        <w:t>annually, the Committee shall, in a manner it determines to be appropriate:</w:t>
      </w:r>
    </w:p>
    <w:p w14:paraId="431645B2" w14:textId="77777777" w:rsidR="009633AC" w:rsidRPr="00452F66" w:rsidRDefault="009633AC" w:rsidP="009633AC">
      <w:pPr>
        <w:pStyle w:val="Legal5L4"/>
        <w:spacing w:beforeLines="60" w:before="144" w:after="0"/>
      </w:pPr>
      <w:r w:rsidRPr="00452F66">
        <w:t>conduct a review and evaluation of the performance of the Committee and its members, including the compliance of the Committee with this charter; and</w:t>
      </w:r>
    </w:p>
    <w:p w14:paraId="487CA836" w14:textId="77777777" w:rsidR="009633AC" w:rsidRPr="00452F66" w:rsidRDefault="009633AC" w:rsidP="009633AC">
      <w:pPr>
        <w:pStyle w:val="Legal5L4"/>
        <w:spacing w:beforeLines="60" w:before="144" w:after="0"/>
      </w:pPr>
      <w:r w:rsidRPr="00452F66">
        <w:lastRenderedPageBreak/>
        <w:t>review and assess the adequacy of this charter and the position description for the chairman of the Committee and recommend to the Board any improvements to this charter or the position description that the Committee determines to be appropriate, except for minor technical amendments to this charter, authority for which is delegated to the Corporate Secretary, who will report any such amendments to the Board at its next regular meeting.</w:t>
      </w:r>
    </w:p>
    <w:p w14:paraId="714E04B1" w14:textId="77777777" w:rsidR="009633AC" w:rsidRPr="00452F66" w:rsidRDefault="009633AC" w:rsidP="009633AC">
      <w:pPr>
        <w:pStyle w:val="Legal5L1"/>
        <w:spacing w:beforeLines="60" w:before="144" w:after="0"/>
      </w:pPr>
      <w:r w:rsidRPr="00452F66">
        <w:t>OTHER MATTERS</w:t>
      </w:r>
    </w:p>
    <w:p w14:paraId="5916FBC7" w14:textId="77777777" w:rsidR="009633AC" w:rsidRPr="00B676FF" w:rsidRDefault="009633AC" w:rsidP="009633AC">
      <w:pPr>
        <w:pStyle w:val="Legal5L2"/>
        <w:spacing w:beforeLines="60" w:before="144" w:after="0"/>
        <w:rPr>
          <w:lang w:val="en-US"/>
        </w:rPr>
      </w:pPr>
      <w:r w:rsidRPr="00B676FF">
        <w:rPr>
          <w:lang w:val="en-US"/>
        </w:rPr>
        <w:t>The Committee shall be provided with:</w:t>
      </w:r>
    </w:p>
    <w:p w14:paraId="61C5D656" w14:textId="77777777" w:rsidR="009633AC" w:rsidRPr="00B676FF" w:rsidRDefault="009633AC" w:rsidP="009633AC">
      <w:pPr>
        <w:pStyle w:val="Legal5L3"/>
        <w:spacing w:beforeLines="60" w:before="144" w:after="0"/>
        <w:rPr>
          <w:lang w:val="en-US"/>
        </w:rPr>
      </w:pPr>
      <w:r w:rsidRPr="00B676FF">
        <w:rPr>
          <w:lang w:val="en-US"/>
        </w:rPr>
        <w:t>access to sufficient resources in order to carry out its duties (including access to the secretary of the Corporation for assistance as required); and</w:t>
      </w:r>
    </w:p>
    <w:p w14:paraId="7DBC814C" w14:textId="77777777" w:rsidR="009633AC" w:rsidRPr="00452F66" w:rsidRDefault="009633AC" w:rsidP="009633AC">
      <w:pPr>
        <w:pStyle w:val="Legal5L3"/>
        <w:spacing w:beforeLines="60" w:before="144" w:after="0"/>
      </w:pPr>
      <w:r w:rsidRPr="00452F66">
        <w:t>appropriate and timely training, both in the form of an induction programme for new members and on an ongoing basis for all members.</w:t>
      </w:r>
    </w:p>
    <w:p w14:paraId="43B93B91" w14:textId="77777777" w:rsidR="009633AC" w:rsidRPr="00452F66" w:rsidRDefault="009633AC" w:rsidP="009633AC">
      <w:pPr>
        <w:pStyle w:val="Legal5L2"/>
        <w:keepNext/>
        <w:keepLines/>
        <w:spacing w:beforeLines="60" w:before="144" w:after="0"/>
      </w:pPr>
      <w:r w:rsidRPr="00452F66">
        <w:t>The Committee shall:</w:t>
      </w:r>
    </w:p>
    <w:p w14:paraId="342F065D" w14:textId="77777777" w:rsidR="009633AC" w:rsidRPr="00452F66" w:rsidRDefault="009633AC" w:rsidP="009633AC">
      <w:pPr>
        <w:pStyle w:val="Legal5L3"/>
        <w:spacing w:beforeLines="60" w:before="144" w:after="0"/>
      </w:pPr>
      <w:r w:rsidRPr="00452F66">
        <w:t xml:space="preserve">work and liaise as necessary with all other committees of the Board; </w:t>
      </w:r>
    </w:p>
    <w:p w14:paraId="0B13EBB7" w14:textId="77777777" w:rsidR="009633AC" w:rsidRPr="00452F66" w:rsidRDefault="009633AC" w:rsidP="009633AC">
      <w:pPr>
        <w:pStyle w:val="Legal5L3"/>
        <w:spacing w:beforeLines="60" w:before="144" w:after="0"/>
      </w:pPr>
      <w:r w:rsidRPr="00452F66">
        <w:t>give due consideration to laws and regulations, the provisions of the QCA Code, the requirements of the AIM Rules for Companies and any other applicable rules, as appropriate;</w:t>
      </w:r>
    </w:p>
    <w:p w14:paraId="16467B5D" w14:textId="77777777" w:rsidR="009633AC" w:rsidRPr="00452F66" w:rsidRDefault="009633AC" w:rsidP="009633AC">
      <w:pPr>
        <w:pStyle w:val="Legal5L3"/>
        <w:spacing w:beforeLines="60" w:before="144" w:after="0"/>
      </w:pPr>
      <w:r w:rsidRPr="00452F66">
        <w:t>carry out such other duties shall consider such other matters as may be referred to it by the Board from time to time; and</w:t>
      </w:r>
    </w:p>
    <w:p w14:paraId="28F754E3" w14:textId="77777777" w:rsidR="009633AC" w:rsidRPr="00452F66" w:rsidRDefault="009633AC" w:rsidP="009633AC">
      <w:pPr>
        <w:pStyle w:val="Legal5L3"/>
        <w:spacing w:beforeLines="60" w:before="144" w:after="0"/>
      </w:pPr>
      <w:r w:rsidRPr="00452F66">
        <w:t>arrange for periodic reviews of its own performance and shall, at least once a year, review its own performance, constitution and the terms of this charter to ensure that it is operating at maximum effectiveness and recommend any changes that it considers necessary to the Board for approval.</w:t>
      </w:r>
    </w:p>
    <w:p w14:paraId="3380417D" w14:textId="77777777" w:rsidR="009633AC" w:rsidRPr="00452F66" w:rsidRDefault="009633AC" w:rsidP="009633AC">
      <w:pPr>
        <w:pStyle w:val="Legal5L3"/>
        <w:spacing w:beforeLines="60" w:before="144" w:after="0"/>
      </w:pPr>
      <w:r w:rsidRPr="00452F66">
        <w:t>Outside of the formal meeting programme, the Chair, and to a lesser extent the other members of the Committee, will maintain a dialogue with key individuals involved in the company's governance, including the Board chair, the chief executive, the finance director, the external audit lead partner and the head of internal audit.</w:t>
      </w:r>
    </w:p>
    <w:p w14:paraId="5A5D14A7" w14:textId="77777777" w:rsidR="009633AC" w:rsidRPr="00452F66" w:rsidRDefault="009633AC" w:rsidP="009633AC">
      <w:pPr>
        <w:pStyle w:val="Legal5L1"/>
        <w:spacing w:beforeLines="60" w:before="144" w:after="0"/>
      </w:pPr>
      <w:r w:rsidRPr="00452F66">
        <w:t>AUTHORITY OF THE COMMITTEE</w:t>
      </w:r>
    </w:p>
    <w:p w14:paraId="3FEE2602" w14:textId="77777777" w:rsidR="009633AC" w:rsidRPr="00452F66" w:rsidRDefault="009633AC" w:rsidP="009633AC">
      <w:pPr>
        <w:pStyle w:val="Legal5L2"/>
        <w:spacing w:beforeLines="60" w:before="144" w:after="0"/>
      </w:pPr>
      <w:r w:rsidRPr="00452F66">
        <w:t>The Committee is authorised by the Board:</w:t>
      </w:r>
    </w:p>
    <w:p w14:paraId="2E34DE50" w14:textId="77777777" w:rsidR="009633AC" w:rsidRPr="00452F66" w:rsidRDefault="009633AC" w:rsidP="009633AC">
      <w:pPr>
        <w:pStyle w:val="Legal5L3"/>
        <w:spacing w:beforeLines="60" w:before="144" w:after="0"/>
      </w:pPr>
      <w:r w:rsidRPr="00452F66">
        <w:t>to examine any activity and undertake such investigations and research as it considers necessary or appropriate for the purpose of carrying out its duties;</w:t>
      </w:r>
    </w:p>
    <w:p w14:paraId="3D4176C2" w14:textId="77777777" w:rsidR="009633AC" w:rsidRPr="00452F66" w:rsidRDefault="009633AC" w:rsidP="009633AC">
      <w:pPr>
        <w:pStyle w:val="Legal5L3"/>
        <w:spacing w:beforeLines="60" w:before="144" w:after="0"/>
      </w:pPr>
      <w:r w:rsidRPr="00452F66">
        <w:t>to have unrestricted access to the Corporation's external auditors;</w:t>
      </w:r>
    </w:p>
    <w:p w14:paraId="1375C633" w14:textId="77777777" w:rsidR="009633AC" w:rsidRPr="00452F66" w:rsidRDefault="009633AC" w:rsidP="009633AC">
      <w:pPr>
        <w:pStyle w:val="Legal5L3"/>
        <w:spacing w:beforeLines="60" w:before="144" w:after="0"/>
      </w:pPr>
      <w:r w:rsidRPr="00452F66">
        <w:t>to obtain, at the Corporation's expense, independent legal, accounting or other professional advice on any matter within its remit where the Committee considers it necessary or appropriate to do so;</w:t>
      </w:r>
    </w:p>
    <w:p w14:paraId="28413E36" w14:textId="77777777" w:rsidR="009633AC" w:rsidRPr="00452F66" w:rsidRDefault="009633AC" w:rsidP="009633AC">
      <w:pPr>
        <w:pStyle w:val="Legal5L3"/>
        <w:spacing w:beforeLines="60" w:before="144" w:after="0"/>
      </w:pPr>
      <w:r w:rsidRPr="00452F66">
        <w:t>to exercise all or any of the authorities, powers and discretions vested in or exercisable by the Committee;</w:t>
      </w:r>
    </w:p>
    <w:p w14:paraId="69FC737C" w14:textId="77777777" w:rsidR="009633AC" w:rsidRPr="00452F66" w:rsidRDefault="009633AC" w:rsidP="009633AC">
      <w:pPr>
        <w:pStyle w:val="Legal5L3"/>
        <w:spacing w:beforeLines="60" w:before="144" w:after="0"/>
      </w:pPr>
      <w:r w:rsidRPr="00452F66">
        <w:t>to seek any information it requires from any employee or director, and all such employees or directors will be directed to co-operate with any request made by the Committee; and</w:t>
      </w:r>
    </w:p>
    <w:p w14:paraId="14E73C08" w14:textId="77777777" w:rsidR="009633AC" w:rsidRPr="00452F66" w:rsidRDefault="009633AC" w:rsidP="009633AC">
      <w:pPr>
        <w:pStyle w:val="Legal5L3"/>
        <w:spacing w:beforeLines="60" w:before="144" w:after="0"/>
      </w:pPr>
      <w:r w:rsidRPr="00452F66">
        <w:t>to call any employee or director to be questioned at a meeting of the Committee as and when required.</w:t>
      </w:r>
    </w:p>
    <w:p w14:paraId="4DC0FC71" w14:textId="77777777" w:rsidR="00E80CC7" w:rsidRDefault="00E80CC7" w:rsidP="009633AC">
      <w:pPr>
        <w:pStyle w:val="BodyText"/>
        <w:spacing w:beforeLines="60" w:before="144" w:after="0"/>
        <w:ind w:left="4320"/>
        <w:rPr>
          <w:lang w:val="en-US"/>
        </w:rPr>
      </w:pPr>
    </w:p>
    <w:p w14:paraId="05F6CC89" w14:textId="37D6FD52" w:rsidR="009633AC" w:rsidRPr="00150250" w:rsidRDefault="009633AC" w:rsidP="009633AC">
      <w:pPr>
        <w:pStyle w:val="BodyText"/>
        <w:spacing w:beforeLines="60" w:before="144" w:after="0"/>
        <w:ind w:left="4320"/>
        <w:rPr>
          <w:lang w:val="en-US"/>
        </w:rPr>
      </w:pPr>
      <w:r w:rsidRPr="00150250">
        <w:rPr>
          <w:lang w:val="en-US"/>
        </w:rPr>
        <w:t xml:space="preserve">APPROVED BY THE BOARD OF DIRECTORS ON </w:t>
      </w:r>
    </w:p>
    <w:p w14:paraId="68115E23" w14:textId="6A05B713" w:rsidR="009633AC" w:rsidRPr="001A4742" w:rsidRDefault="009633AC" w:rsidP="009633AC">
      <w:pPr>
        <w:pStyle w:val="BodyText"/>
        <w:spacing w:beforeLines="60" w:before="144" w:after="0"/>
        <w:ind w:left="4320"/>
      </w:pPr>
      <w:r w:rsidRPr="00452F66">
        <w:t>2</w:t>
      </w:r>
      <w:r>
        <w:t>3rd</w:t>
      </w:r>
      <w:r w:rsidRPr="00452F66">
        <w:t xml:space="preserve"> July 2020</w:t>
      </w:r>
      <w:bookmarkEnd w:id="0"/>
    </w:p>
    <w:p w14:paraId="0264B568" w14:textId="63D61EAE" w:rsidR="00150250" w:rsidRPr="009633AC" w:rsidRDefault="00150250" w:rsidP="009633AC"/>
    <w:sectPr w:rsidR="00150250" w:rsidRPr="009633AC" w:rsidSect="00ED0BF7">
      <w:headerReference w:type="default" r:id="rId30"/>
      <w:footerReference w:type="default" r:id="rId31"/>
      <w:pgSz w:w="12240" w:h="15840" w:code="1"/>
      <w:pgMar w:top="1440" w:right="1440" w:bottom="1440" w:left="1440" w:header="706" w:footer="720" w:gutter="0"/>
      <w:pgNumType w:start="1" w:chapStyle="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0540A" w14:textId="77777777" w:rsidR="00C3229C" w:rsidRDefault="00C3229C" w:rsidP="00150250">
      <w:r>
        <w:separator/>
      </w:r>
    </w:p>
  </w:endnote>
  <w:endnote w:type="continuationSeparator" w:id="0">
    <w:p w14:paraId="3001854B" w14:textId="77777777" w:rsidR="00C3229C" w:rsidRDefault="00C3229C" w:rsidP="0015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CEAB" w14:textId="77777777" w:rsidR="009633AC" w:rsidRPr="00A52F2C" w:rsidRDefault="00000000">
    <w:pPr>
      <w:pStyle w:val="Footer"/>
      <w:jc w:val="center"/>
      <w:rPr>
        <w:rFonts w:asciiTheme="majorHAnsi" w:eastAsiaTheme="majorEastAsia" w:hAnsiTheme="majorHAnsi" w:cstheme="majorBidi"/>
        <w:sz w:val="28"/>
        <w:szCs w:val="28"/>
        <w:lang w:val="fr-FR"/>
      </w:rPr>
    </w:pPr>
    <w:sdt>
      <w:sdtPr>
        <w:rPr>
          <w:rFonts w:asciiTheme="majorHAnsi" w:eastAsiaTheme="majorEastAsia" w:hAnsiTheme="majorHAnsi" w:cstheme="majorBidi"/>
          <w:sz w:val="28"/>
          <w:szCs w:val="28"/>
          <w:lang w:val="fr-FR"/>
        </w:rPr>
        <w:id w:val="-287443749"/>
        <w:docPartObj>
          <w:docPartGallery w:val="Page Numbers (Bottom of Page)"/>
          <w:docPartUnique/>
        </w:docPartObj>
      </w:sdtPr>
      <w:sdtContent>
        <w:r w:rsidR="009633AC" w:rsidRPr="00A52F2C">
          <w:rPr>
            <w:rFonts w:asciiTheme="minorHAnsi" w:eastAsiaTheme="majorEastAsia" w:hAnsiTheme="minorHAnsi" w:cstheme="minorHAnsi"/>
            <w:lang w:val="fr-FR"/>
          </w:rPr>
          <w:t xml:space="preserve">- </w:t>
        </w:r>
        <w:r w:rsidR="009633AC" w:rsidRPr="00A52F2C">
          <w:rPr>
            <w:rFonts w:asciiTheme="minorHAnsi" w:eastAsiaTheme="minorEastAsia" w:hAnsiTheme="minorHAnsi" w:cstheme="minorHAnsi"/>
          </w:rPr>
          <w:fldChar w:fldCharType="begin"/>
        </w:r>
        <w:r w:rsidR="009633AC" w:rsidRPr="00A52F2C">
          <w:rPr>
            <w:rFonts w:asciiTheme="minorHAnsi" w:hAnsiTheme="minorHAnsi" w:cstheme="minorHAnsi"/>
          </w:rPr>
          <w:instrText>PAGE    \* MERGEFORMAT</w:instrText>
        </w:r>
        <w:r w:rsidR="009633AC" w:rsidRPr="00A52F2C">
          <w:rPr>
            <w:rFonts w:asciiTheme="minorHAnsi" w:eastAsiaTheme="minorEastAsia" w:hAnsiTheme="minorHAnsi" w:cstheme="minorHAnsi"/>
          </w:rPr>
          <w:fldChar w:fldCharType="separate"/>
        </w:r>
        <w:r w:rsidR="009633AC" w:rsidRPr="00A52F2C">
          <w:rPr>
            <w:rFonts w:asciiTheme="minorHAnsi" w:eastAsiaTheme="majorEastAsia" w:hAnsiTheme="minorHAnsi" w:cstheme="minorHAnsi"/>
            <w:noProof/>
            <w:lang w:val="fr-FR"/>
          </w:rPr>
          <w:t>1</w:t>
        </w:r>
        <w:r w:rsidR="009633AC" w:rsidRPr="00A52F2C">
          <w:rPr>
            <w:rFonts w:asciiTheme="minorHAnsi" w:eastAsiaTheme="majorEastAsia" w:hAnsiTheme="minorHAnsi" w:cstheme="minorHAnsi"/>
          </w:rPr>
          <w:fldChar w:fldCharType="end"/>
        </w:r>
        <w:r w:rsidR="009633AC" w:rsidRPr="00A52F2C">
          <w:rPr>
            <w:rFonts w:asciiTheme="minorHAnsi" w:eastAsiaTheme="majorEastAsia" w:hAnsiTheme="minorHAnsi" w:cstheme="minorHAnsi"/>
            <w:lang w:val="fr-FR"/>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lang w:val="fr-FR"/>
      </w:rPr>
      <w:id w:val="-2021766057"/>
      <w:docPartObj>
        <w:docPartGallery w:val="Page Numbers (Bottom of Page)"/>
        <w:docPartUnique/>
      </w:docPartObj>
    </w:sdtPr>
    <w:sdtContent>
      <w:p w14:paraId="39D7196F" w14:textId="77777777" w:rsidR="009633AC" w:rsidRPr="00A52F2C" w:rsidRDefault="009633AC" w:rsidP="00E042BB">
        <w:pPr>
          <w:pStyle w:val="Header"/>
          <w:jc w:val="center"/>
          <w:rPr>
            <w:rFonts w:asciiTheme="majorHAnsi" w:eastAsiaTheme="majorEastAsia" w:hAnsiTheme="majorHAnsi" w:cstheme="majorBidi"/>
            <w:sz w:val="32"/>
            <w:szCs w:val="32"/>
            <w:lang w:val="fr-FR"/>
          </w:rPr>
        </w:pPr>
        <w:r w:rsidRPr="00E042BB">
          <w:rPr>
            <w:sz w:val="20"/>
            <w:szCs w:val="22"/>
          </w:rPr>
          <w:t xml:space="preserve">- </w:t>
        </w:r>
        <w:r w:rsidRPr="00E042BB">
          <w:rPr>
            <w:sz w:val="20"/>
            <w:szCs w:val="22"/>
          </w:rPr>
          <w:fldChar w:fldCharType="begin"/>
        </w:r>
        <w:r w:rsidRPr="00E042BB">
          <w:rPr>
            <w:sz w:val="20"/>
            <w:szCs w:val="22"/>
          </w:rPr>
          <w:instrText xml:space="preserve"> PAGE   \* MERGEFORMAT </w:instrText>
        </w:r>
        <w:r w:rsidRPr="00E042BB">
          <w:rPr>
            <w:sz w:val="20"/>
            <w:szCs w:val="22"/>
          </w:rPr>
          <w:fldChar w:fldCharType="separate"/>
        </w:r>
        <w:r w:rsidRPr="00E042BB">
          <w:rPr>
            <w:noProof/>
            <w:sz w:val="20"/>
            <w:szCs w:val="22"/>
          </w:rPr>
          <w:t>1</w:t>
        </w:r>
        <w:r w:rsidRPr="00E042BB">
          <w:rPr>
            <w:noProof/>
            <w:sz w:val="20"/>
            <w:szCs w:val="22"/>
          </w:rPr>
          <w:fldChar w:fldCharType="end"/>
        </w:r>
        <w:r w:rsidRPr="00E042BB">
          <w:rPr>
            <w:sz w:val="20"/>
            <w:szCs w:val="22"/>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AF783" w14:textId="77777777" w:rsidR="009633AC" w:rsidRPr="005C6077" w:rsidRDefault="009633AC" w:rsidP="005C6077">
    <w:pPr>
      <w:pStyle w:val="Footer"/>
      <w:rPr>
        <w:rFonts w:eastAsiaTheme="majorEastAsia"/>
      </w:rPr>
    </w:pPr>
  </w:p>
  <w:p w14:paraId="64323846" w14:textId="77777777" w:rsidR="009633AC" w:rsidRDefault="009633A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FC21" w14:textId="77777777" w:rsidR="009633AC" w:rsidRPr="008B3ECB" w:rsidRDefault="009633AC" w:rsidP="008B3ECB">
    <w:pPr>
      <w:pStyle w:val="Footer"/>
    </w:pPr>
  </w:p>
  <w:p w14:paraId="5CB43058" w14:textId="77777777" w:rsidR="009633AC" w:rsidRDefault="009633A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AF6D" w14:textId="77777777" w:rsidR="00B306CB" w:rsidRPr="00A52F2C" w:rsidRDefault="00B306CB" w:rsidP="00ED0BF7">
    <w:pPr>
      <w:pStyle w:val="Footer"/>
      <w:jc w:val="center"/>
      <w:rPr>
        <w:rFonts w:eastAsiaTheme="majorEastAsia"/>
      </w:rPr>
    </w:pPr>
    <w:r w:rsidRPr="00A52F2C">
      <w:rPr>
        <w:rFonts w:eastAsiaTheme="majorEastAsia"/>
      </w:rPr>
      <w:fldChar w:fldCharType="begin"/>
    </w:r>
    <w:r w:rsidRPr="00A52F2C">
      <w:rPr>
        <w:rFonts w:eastAsiaTheme="majorEastAsia"/>
      </w:rPr>
      <w:instrText xml:space="preserve"> PAGE   \* MERGEFORMAT </w:instrText>
    </w:r>
    <w:r w:rsidRPr="00A52F2C">
      <w:rPr>
        <w:rFonts w:eastAsiaTheme="majorEastAsia"/>
      </w:rPr>
      <w:fldChar w:fldCharType="separate"/>
    </w:r>
    <w:r w:rsidRPr="00A52F2C">
      <w:rPr>
        <w:rFonts w:eastAsiaTheme="majorEastAsia"/>
        <w:noProof/>
      </w:rPr>
      <w:t>A-4</w:t>
    </w:r>
    <w:r w:rsidRPr="00A52F2C">
      <w:rPr>
        <w:rFonts w:eastAsiaTheme="majorEastAs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3521" w14:textId="77777777" w:rsidR="00C3229C" w:rsidRDefault="00C3229C" w:rsidP="00150250">
      <w:r>
        <w:separator/>
      </w:r>
    </w:p>
  </w:footnote>
  <w:footnote w:type="continuationSeparator" w:id="0">
    <w:p w14:paraId="5B025015" w14:textId="77777777" w:rsidR="00C3229C" w:rsidRDefault="00C3229C" w:rsidP="00150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6271" w14:textId="77777777" w:rsidR="009633AC" w:rsidRPr="005C6077" w:rsidRDefault="00000000" w:rsidP="005C6077">
    <w:pPr>
      <w:pStyle w:val="Header"/>
      <w:jc w:val="center"/>
      <w:rPr>
        <w:b w:val="0"/>
        <w:bCs/>
        <w:sz w:val="22"/>
        <w:szCs w:val="22"/>
      </w:rPr>
    </w:pPr>
    <w:sdt>
      <w:sdtPr>
        <w:rPr>
          <w:b w:val="0"/>
          <w:bCs/>
          <w:sz w:val="22"/>
          <w:szCs w:val="22"/>
        </w:rPr>
        <w:id w:val="1304504624"/>
        <w:docPartObj>
          <w:docPartGallery w:val="Page Numbers (Top of Page)"/>
          <w:docPartUnique/>
        </w:docPartObj>
      </w:sdtPr>
      <w:sdtEndPr>
        <w:rPr>
          <w:noProof/>
        </w:rPr>
      </w:sdtEndPr>
      <w:sdtContent>
        <w:r w:rsidR="009633AC">
          <w:rPr>
            <w:b w:val="0"/>
            <w:bCs/>
            <w:sz w:val="22"/>
            <w:szCs w:val="22"/>
          </w:rPr>
          <w:t xml:space="preserve">- </w:t>
        </w:r>
        <w:r w:rsidR="009633AC" w:rsidRPr="005C6077">
          <w:rPr>
            <w:b w:val="0"/>
            <w:bCs/>
            <w:sz w:val="22"/>
            <w:szCs w:val="22"/>
          </w:rPr>
          <w:fldChar w:fldCharType="begin"/>
        </w:r>
        <w:r w:rsidR="009633AC" w:rsidRPr="005C6077">
          <w:rPr>
            <w:b w:val="0"/>
            <w:bCs/>
            <w:sz w:val="22"/>
            <w:szCs w:val="22"/>
          </w:rPr>
          <w:instrText xml:space="preserve"> PAGE   \* MERGEFORMAT </w:instrText>
        </w:r>
        <w:r w:rsidR="009633AC" w:rsidRPr="005C6077">
          <w:rPr>
            <w:b w:val="0"/>
            <w:bCs/>
            <w:sz w:val="22"/>
            <w:szCs w:val="22"/>
          </w:rPr>
          <w:fldChar w:fldCharType="separate"/>
        </w:r>
        <w:r w:rsidR="009633AC" w:rsidRPr="005C6077">
          <w:rPr>
            <w:b w:val="0"/>
            <w:bCs/>
            <w:noProof/>
            <w:sz w:val="22"/>
            <w:szCs w:val="22"/>
          </w:rPr>
          <w:t>2</w:t>
        </w:r>
        <w:r w:rsidR="009633AC" w:rsidRPr="005C6077">
          <w:rPr>
            <w:b w:val="0"/>
            <w:bCs/>
            <w:noProof/>
            <w:sz w:val="22"/>
            <w:szCs w:val="22"/>
          </w:rPr>
          <w:fldChar w:fldCharType="end"/>
        </w:r>
      </w:sdtContent>
    </w:sdt>
    <w:r w:rsidR="009633AC">
      <w:rPr>
        <w:b w:val="0"/>
        <w:bCs/>
        <w:noProof/>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E4AE" w14:textId="77777777" w:rsidR="009633AC" w:rsidRPr="002D6FE9" w:rsidRDefault="009633AC" w:rsidP="002D6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6AA9" w14:textId="77777777" w:rsidR="00B306CB" w:rsidRDefault="00B30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1FC"/>
    <w:multiLevelType w:val="hybridMultilevel"/>
    <w:tmpl w:val="3574FE9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643830"/>
    <w:multiLevelType w:val="hybridMultilevel"/>
    <w:tmpl w:val="9754D7A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5EB44BF"/>
    <w:multiLevelType w:val="hybridMultilevel"/>
    <w:tmpl w:val="9A6EE3A4"/>
    <w:lvl w:ilvl="0" w:tplc="FFFFFFFF">
      <w:start w:val="1"/>
      <w:numFmt w:val="bullet"/>
      <w:pStyle w:val="Bullet1"/>
      <w:lvlText w:val="•"/>
      <w:lvlJc w:val="left"/>
      <w:pPr>
        <w:tabs>
          <w:tab w:val="num" w:pos="720"/>
        </w:tabs>
        <w:ind w:left="720" w:hanging="360"/>
      </w:pPr>
      <w:rPr>
        <w:rFonts w:ascii="Arial" w:hAnsi="Arial" w:hint="default"/>
        <w:color w:val="auto"/>
        <w:sz w:val="20"/>
      </w:rPr>
    </w:lvl>
    <w:lvl w:ilvl="1" w:tplc="FA60BA22">
      <w:start w:val="1"/>
      <w:numFmt w:val="bullet"/>
      <w:lvlText w:val=""/>
      <w:lvlJc w:val="left"/>
      <w:pPr>
        <w:tabs>
          <w:tab w:val="num" w:pos="1368"/>
        </w:tabs>
        <w:ind w:left="1348" w:hanging="340"/>
      </w:pPr>
      <w:rPr>
        <w:rFonts w:ascii="Symbol" w:hAnsi="Symbol" w:hint="default"/>
        <w:color w:val="auto"/>
        <w:sz w:val="22"/>
        <w:szCs w:val="22"/>
      </w:rPr>
    </w:lvl>
    <w:lvl w:ilvl="2" w:tplc="4D5C4F1C">
      <w:start w:val="1"/>
      <w:numFmt w:val="bullet"/>
      <w:lvlText w:val="-"/>
      <w:lvlJc w:val="left"/>
      <w:pPr>
        <w:tabs>
          <w:tab w:val="num" w:pos="2088"/>
        </w:tabs>
        <w:ind w:left="2088" w:hanging="360"/>
      </w:pPr>
      <w:rPr>
        <w:rFonts w:ascii="Arial" w:eastAsia="MS Mincho" w:hAnsi="Arial" w:cs="Arial" w:hint="default"/>
      </w:rPr>
    </w:lvl>
    <w:lvl w:ilvl="3" w:tplc="44BAE474">
      <w:start w:val="1"/>
      <w:numFmt w:val="lowerRoman"/>
      <w:lvlText w:val="%4i)"/>
      <w:lvlJc w:val="left"/>
      <w:pPr>
        <w:tabs>
          <w:tab w:val="num" w:pos="2808"/>
        </w:tabs>
        <w:ind w:left="2808" w:hanging="360"/>
      </w:pPr>
      <w:rPr>
        <w:rFonts w:hint="default"/>
        <w:color w:val="auto"/>
        <w:sz w:val="20"/>
      </w:rPr>
    </w:lvl>
    <w:lvl w:ilvl="4" w:tplc="FC666D94">
      <w:start w:val="1"/>
      <w:numFmt w:val="lowerLetter"/>
      <w:lvlText w:val="(%5)"/>
      <w:lvlJc w:val="left"/>
      <w:pPr>
        <w:tabs>
          <w:tab w:val="num" w:pos="3528"/>
        </w:tabs>
        <w:ind w:left="3528" w:hanging="360"/>
      </w:pPr>
      <w:rPr>
        <w:rFonts w:hint="default"/>
      </w:rPr>
    </w:lvl>
    <w:lvl w:ilvl="5" w:tplc="4FFCF204" w:tentative="1">
      <w:start w:val="1"/>
      <w:numFmt w:val="bullet"/>
      <w:lvlText w:val=""/>
      <w:lvlJc w:val="left"/>
      <w:pPr>
        <w:tabs>
          <w:tab w:val="num" w:pos="4248"/>
        </w:tabs>
        <w:ind w:left="4248" w:hanging="360"/>
      </w:pPr>
      <w:rPr>
        <w:rFonts w:ascii="Wingdings" w:hAnsi="Wingdings" w:hint="default"/>
      </w:rPr>
    </w:lvl>
    <w:lvl w:ilvl="6" w:tplc="4E3EFF54" w:tentative="1">
      <w:start w:val="1"/>
      <w:numFmt w:val="bullet"/>
      <w:lvlText w:val=""/>
      <w:lvlJc w:val="left"/>
      <w:pPr>
        <w:tabs>
          <w:tab w:val="num" w:pos="4968"/>
        </w:tabs>
        <w:ind w:left="4968" w:hanging="360"/>
      </w:pPr>
      <w:rPr>
        <w:rFonts w:ascii="Symbol" w:hAnsi="Symbol" w:hint="default"/>
      </w:rPr>
    </w:lvl>
    <w:lvl w:ilvl="7" w:tplc="C0842630" w:tentative="1">
      <w:start w:val="1"/>
      <w:numFmt w:val="bullet"/>
      <w:lvlText w:val="o"/>
      <w:lvlJc w:val="left"/>
      <w:pPr>
        <w:tabs>
          <w:tab w:val="num" w:pos="5688"/>
        </w:tabs>
        <w:ind w:left="5688" w:hanging="360"/>
      </w:pPr>
      <w:rPr>
        <w:rFonts w:ascii="Courier New" w:hAnsi="Courier New" w:cs="Courier New" w:hint="default"/>
      </w:rPr>
    </w:lvl>
    <w:lvl w:ilvl="8" w:tplc="45FC53A0" w:tentative="1">
      <w:start w:val="1"/>
      <w:numFmt w:val="bullet"/>
      <w:lvlText w:val=""/>
      <w:lvlJc w:val="left"/>
      <w:pPr>
        <w:tabs>
          <w:tab w:val="num" w:pos="6408"/>
        </w:tabs>
        <w:ind w:left="6408" w:hanging="360"/>
      </w:pPr>
      <w:rPr>
        <w:rFonts w:ascii="Wingdings" w:hAnsi="Wingdings" w:hint="default"/>
      </w:rPr>
    </w:lvl>
  </w:abstractNum>
  <w:abstractNum w:abstractNumId="3" w15:restartNumberingAfterBreak="0">
    <w:nsid w:val="099A134B"/>
    <w:multiLevelType w:val="hybridMultilevel"/>
    <w:tmpl w:val="9840343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CCA5F47"/>
    <w:multiLevelType w:val="hybridMultilevel"/>
    <w:tmpl w:val="C1A0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45EF9"/>
    <w:multiLevelType w:val="multilevel"/>
    <w:tmpl w:val="F2D6B36A"/>
    <w:name w:val="zzmpProspectus||Prospectus|3|1|1|0|10|41||0|12|33||0|12|35||0|4|36||1|12|32||2|4|32||1|12|32||1|12|32||1|12|32||"/>
    <w:lvl w:ilvl="0">
      <w:start w:val="1"/>
      <w:numFmt w:val="none"/>
      <w:pStyle w:val="ProspectusL1"/>
      <w:suff w:val="nothing"/>
      <w:lvlText w:val=""/>
      <w:lvlJc w:val="left"/>
      <w:pPr>
        <w:tabs>
          <w:tab w:val="num" w:pos="0"/>
        </w:tabs>
        <w:ind w:left="0" w:firstLine="0"/>
      </w:pPr>
      <w:rPr>
        <w:rFonts w:ascii="Times New Roman" w:hAnsi="Times New Roman" w:cs="Times New Roman" w:hint="default"/>
        <w:sz w:val="20"/>
        <w:u w:val="none"/>
      </w:rPr>
    </w:lvl>
    <w:lvl w:ilvl="1">
      <w:start w:val="1"/>
      <w:numFmt w:val="none"/>
      <w:lvlRestart w:val="0"/>
      <w:pStyle w:val="ProspectusL2"/>
      <w:suff w:val="nothing"/>
      <w:lvlText w:val=""/>
      <w:lvlJc w:val="left"/>
      <w:pPr>
        <w:tabs>
          <w:tab w:val="num" w:pos="360"/>
        </w:tabs>
        <w:ind w:left="0" w:firstLine="0"/>
      </w:pPr>
      <w:rPr>
        <w:rFonts w:ascii="Times New Roman" w:hAnsi="Times New Roman" w:cs="Times New Roman" w:hint="default"/>
        <w:sz w:val="20"/>
        <w:u w:val="none"/>
      </w:rPr>
    </w:lvl>
    <w:lvl w:ilvl="2">
      <w:start w:val="1"/>
      <w:numFmt w:val="none"/>
      <w:lvlRestart w:val="0"/>
      <w:pStyle w:val="ProspectusL3"/>
      <w:suff w:val="nothing"/>
      <w:lvlText w:val=""/>
      <w:lvlJc w:val="left"/>
      <w:pPr>
        <w:tabs>
          <w:tab w:val="num" w:pos="1260"/>
        </w:tabs>
        <w:ind w:left="720" w:firstLine="0"/>
      </w:pPr>
      <w:rPr>
        <w:rFonts w:ascii="Times New Roman" w:hAnsi="Times New Roman" w:cs="Times New Roman" w:hint="default"/>
        <w:b/>
        <w:i/>
        <w:caps w:val="0"/>
        <w:sz w:val="20"/>
        <w:u w:val="none"/>
      </w:rPr>
    </w:lvl>
    <w:lvl w:ilvl="3">
      <w:start w:val="1"/>
      <w:numFmt w:val="none"/>
      <w:lvlRestart w:val="0"/>
      <w:pStyle w:val="ProspectusL4"/>
      <w:suff w:val="nothing"/>
      <w:lvlText w:val=""/>
      <w:lvlJc w:val="left"/>
      <w:pPr>
        <w:tabs>
          <w:tab w:val="num" w:pos="720"/>
        </w:tabs>
        <w:ind w:left="2880" w:hanging="360"/>
      </w:pPr>
      <w:rPr>
        <w:rFonts w:ascii="Times New Roman" w:hAnsi="Times New Roman" w:cs="Times New Roman" w:hint="default"/>
        <w:b w:val="0"/>
        <w:i w:val="0"/>
        <w:caps w:val="0"/>
        <w:sz w:val="20"/>
        <w:u w:val="single"/>
      </w:rPr>
    </w:lvl>
    <w:lvl w:ilvl="4">
      <w:start w:val="1"/>
      <w:numFmt w:val="lowerRoman"/>
      <w:pStyle w:val="ProspectusL5"/>
      <w:lvlText w:val="(%5)"/>
      <w:lvlJc w:val="left"/>
      <w:pPr>
        <w:tabs>
          <w:tab w:val="num" w:pos="1440"/>
        </w:tabs>
        <w:ind w:left="1440" w:hanging="720"/>
      </w:pPr>
      <w:rPr>
        <w:rFonts w:ascii="Times New Roman" w:hAnsi="Times New Roman" w:cs="Times New Roman" w:hint="default"/>
        <w:sz w:val="20"/>
        <w:u w:val="none"/>
      </w:rPr>
    </w:lvl>
    <w:lvl w:ilvl="5">
      <w:start w:val="1"/>
      <w:numFmt w:val="decimal"/>
      <w:pStyle w:val="ProspectusL6"/>
      <w:suff w:val="space"/>
      <w:lvlText w:val="%6."/>
      <w:lvlJc w:val="left"/>
      <w:pPr>
        <w:tabs>
          <w:tab w:val="num" w:pos="1260"/>
        </w:tabs>
        <w:ind w:left="0" w:firstLine="720"/>
      </w:pPr>
      <w:rPr>
        <w:rFonts w:ascii="Times New Roman" w:hAnsi="Times New Roman" w:cs="Times New Roman" w:hint="default"/>
        <w:b/>
        <w:i w:val="0"/>
        <w:caps w:val="0"/>
        <w:sz w:val="20"/>
        <w:u w:val="none"/>
      </w:rPr>
    </w:lvl>
    <w:lvl w:ilvl="6">
      <w:start w:val="1"/>
      <w:numFmt w:val="bullet"/>
      <w:pStyle w:val="ProspectusL7"/>
      <w:lvlText w:val=""/>
      <w:lvlJc w:val="left"/>
      <w:pPr>
        <w:ind w:left="5040" w:hanging="360"/>
      </w:pPr>
      <w:rPr>
        <w:rFonts w:ascii="Times New Roman" w:hAnsi="Times New Roman" w:cs="Times New Roman" w:hint="default"/>
        <w:sz w:val="20"/>
      </w:rPr>
    </w:lvl>
    <w:lvl w:ilvl="7">
      <w:start w:val="1"/>
      <w:numFmt w:val="bullet"/>
      <w:lvlRestart w:val="0"/>
      <w:pStyle w:val="ProspectusL8"/>
      <w:lvlText w:val=""/>
      <w:lvlJc w:val="left"/>
      <w:pPr>
        <w:tabs>
          <w:tab w:val="num" w:pos="1440"/>
        </w:tabs>
        <w:ind w:left="720" w:hanging="450"/>
      </w:pPr>
      <w:rPr>
        <w:rFonts w:ascii="Wingdings" w:hAnsi="Wingdings" w:cs="Times New Roman" w:hint="default"/>
        <w:sz w:val="20"/>
        <w:u w:val="none"/>
      </w:rPr>
    </w:lvl>
    <w:lvl w:ilvl="8">
      <w:start w:val="1"/>
      <w:numFmt w:val="bullet"/>
      <w:lvlRestart w:val="0"/>
      <w:pStyle w:val="ProspectusL9"/>
      <w:lvlText w:val="○"/>
      <w:lvlJc w:val="left"/>
      <w:pPr>
        <w:tabs>
          <w:tab w:val="num" w:pos="1080"/>
        </w:tabs>
        <w:ind w:left="1080" w:hanging="360"/>
      </w:pPr>
      <w:rPr>
        <w:rFonts w:ascii="Times New Roman" w:hAnsi="Times New Roman" w:cs="Times New Roman" w:hint="default"/>
        <w:sz w:val="20"/>
        <w:u w:val="none"/>
      </w:rPr>
    </w:lvl>
  </w:abstractNum>
  <w:abstractNum w:abstractNumId="6" w15:restartNumberingAfterBreak="0">
    <w:nsid w:val="16212ACB"/>
    <w:multiLevelType w:val="multilevel"/>
    <w:tmpl w:val="C88C5624"/>
    <w:name w:val="zzmpArticle||Article|2|1|1|4|2|33||1|12|33||1|12|33||1|12|33||1|12|32||1|12|32||1|12|32||1|12|32||1|12|32||"/>
    <w:lvl w:ilvl="0">
      <w:start w:val="1"/>
      <w:numFmt w:val="decimal"/>
      <w:pStyle w:val="ArticleL1"/>
      <w:suff w:val="nothing"/>
      <w:lvlText w:val="Article %1"/>
      <w:lvlJc w:val="left"/>
      <w:pPr>
        <w:tabs>
          <w:tab w:val="num" w:pos="720"/>
        </w:tabs>
        <w:ind w:left="0" w:firstLine="0"/>
      </w:pPr>
      <w:rPr>
        <w:b/>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L2"/>
      <w:isLgl/>
      <w:lvlText w:val="%1.%2"/>
      <w:lvlJc w:val="left"/>
      <w:pPr>
        <w:tabs>
          <w:tab w:val="num" w:pos="720"/>
        </w:tabs>
        <w:ind w:left="720" w:hanging="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rticleL3"/>
      <w:isLgl/>
      <w:lvlText w:val="%1.%2.%3"/>
      <w:lvlJc w:val="left"/>
      <w:pPr>
        <w:tabs>
          <w:tab w:val="num" w:pos="2160"/>
        </w:tabs>
        <w:ind w:left="2160" w:hanging="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rticleL4"/>
      <w:lvlText w:val="(%4)"/>
      <w:lvlJc w:val="left"/>
      <w:pPr>
        <w:tabs>
          <w:tab w:val="num" w:pos="2880"/>
        </w:tabs>
        <w:ind w:left="2880" w:hanging="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L5"/>
      <w:lvlText w:val="(%5)"/>
      <w:lvlJc w:val="left"/>
      <w:pPr>
        <w:tabs>
          <w:tab w:val="num" w:pos="3600"/>
        </w:tabs>
        <w:ind w:left="360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L6"/>
      <w:lvlText w:val="(%6)"/>
      <w:lvlJc w:val="left"/>
      <w:pPr>
        <w:tabs>
          <w:tab w:val="num" w:pos="4320"/>
        </w:tabs>
        <w:ind w:left="43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rticleL7"/>
      <w:lvlText w:val="(%7)"/>
      <w:lvlJc w:val="left"/>
      <w:pPr>
        <w:tabs>
          <w:tab w:val="num" w:pos="2160"/>
        </w:tabs>
        <w:ind w:left="21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ArticleL8"/>
      <w:lvlText w:val="(%8)"/>
      <w:lvlJc w:val="left"/>
      <w:pPr>
        <w:tabs>
          <w:tab w:val="num" w:pos="2880"/>
        </w:tabs>
        <w:ind w:left="28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ArticleL9"/>
      <w:lvlText w:val="(%9)"/>
      <w:lvlJc w:val="left"/>
      <w:pPr>
        <w:tabs>
          <w:tab w:val="num" w:pos="3600"/>
        </w:tabs>
        <w:ind w:left="360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8B873E8"/>
    <w:multiLevelType w:val="hybridMultilevel"/>
    <w:tmpl w:val="5C2C9302"/>
    <w:lvl w:ilvl="0" w:tplc="9844DB1E">
      <w:start w:val="1"/>
      <w:numFmt w:val="upperLetter"/>
      <w:pStyle w:val="Heading9"/>
      <w:suff w:val="nothing"/>
      <w:lvlText w:val="SCHEDULE &quot;%1&quot;"/>
      <w:lvlJc w:val="left"/>
      <w:pPr>
        <w:ind w:left="0" w:firstLine="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B054C42"/>
    <w:multiLevelType w:val="hybridMultilevel"/>
    <w:tmpl w:val="5E544BE8"/>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09D5B33"/>
    <w:multiLevelType w:val="hybridMultilevel"/>
    <w:tmpl w:val="FE28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AC717A"/>
    <w:multiLevelType w:val="hybridMultilevel"/>
    <w:tmpl w:val="21FC35C4"/>
    <w:lvl w:ilvl="0" w:tplc="05BE98A0">
      <w:start w:val="1"/>
      <w:numFmt w:val="upperLetter"/>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DF6E20"/>
    <w:multiLevelType w:val="multilevel"/>
    <w:tmpl w:val="865AA04C"/>
    <w:name w:val="zzmpLegal5||Legal5|2|1|1|1|2|41||1|2|32||1|2|32||1|2|32||1|2|32||1|2|32||1|2|32||1|2|32||mpNA||"/>
    <w:lvl w:ilvl="0">
      <w:start w:val="1"/>
      <w:numFmt w:val="decimal"/>
      <w:pStyle w:val="Legal5L1"/>
      <w:lvlText w:val="%1."/>
      <w:lvlJc w:val="left"/>
      <w:pPr>
        <w:tabs>
          <w:tab w:val="num" w:pos="720"/>
        </w:tabs>
        <w:ind w:left="720" w:hanging="720"/>
      </w:pPr>
      <w:rPr>
        <w:b/>
        <w:i w:val="0"/>
        <w:caps/>
        <w:smallCaps w:val="0"/>
        <w:strike w:val="0"/>
        <w:dstrike w:val="0"/>
        <w:vanish w:val="0"/>
        <w:color w:val="auto"/>
        <w:u w:val="none"/>
        <w:effect w:val="none"/>
        <w:vertAlign w:val="baseline"/>
      </w:rPr>
    </w:lvl>
    <w:lvl w:ilvl="1">
      <w:start w:val="1"/>
      <w:numFmt w:val="decimal"/>
      <w:pStyle w:val="Legal5L2"/>
      <w:lvlText w:val="%1.%2"/>
      <w:lvlJc w:val="left"/>
      <w:pPr>
        <w:tabs>
          <w:tab w:val="num" w:pos="720"/>
        </w:tabs>
        <w:ind w:left="720" w:hanging="720"/>
      </w:pPr>
      <w:rPr>
        <w:b w:val="0"/>
        <w:i w:val="0"/>
        <w:caps w:val="0"/>
        <w:strike w:val="0"/>
        <w:dstrike w:val="0"/>
        <w:vanish w:val="0"/>
        <w:color w:val="auto"/>
        <w:u w:val="none"/>
        <w:effect w:val="none"/>
        <w:vertAlign w:val="baseline"/>
      </w:rPr>
    </w:lvl>
    <w:lvl w:ilvl="2">
      <w:start w:val="1"/>
      <w:numFmt w:val="decimal"/>
      <w:pStyle w:val="Legal5L3"/>
      <w:lvlText w:val="%1.%2.%3"/>
      <w:lvlJc w:val="left"/>
      <w:pPr>
        <w:tabs>
          <w:tab w:val="num" w:pos="720"/>
        </w:tabs>
        <w:ind w:left="720" w:hanging="720"/>
      </w:pPr>
      <w:rPr>
        <w:b w:val="0"/>
        <w:i w:val="0"/>
        <w:caps w:val="0"/>
        <w:strike w:val="0"/>
        <w:dstrike w:val="0"/>
        <w:vanish w:val="0"/>
        <w:color w:val="auto"/>
        <w:u w:val="none"/>
        <w:effect w:val="none"/>
        <w:vertAlign w:val="baseline"/>
      </w:rPr>
    </w:lvl>
    <w:lvl w:ilvl="3">
      <w:start w:val="1"/>
      <w:numFmt w:val="decimal"/>
      <w:pStyle w:val="Legal5L4"/>
      <w:lvlText w:val="%1.%2.%3.%4"/>
      <w:lvlJc w:val="left"/>
      <w:pPr>
        <w:tabs>
          <w:tab w:val="num" w:pos="1800"/>
        </w:tabs>
        <w:ind w:left="1800" w:hanging="1080"/>
      </w:pPr>
      <w:rPr>
        <w:b w:val="0"/>
        <w:i w:val="0"/>
        <w:caps w:val="0"/>
        <w:strike w:val="0"/>
        <w:dstrike w:val="0"/>
        <w:vanish w:val="0"/>
        <w:color w:val="auto"/>
        <w:u w:val="none"/>
        <w:effect w:val="none"/>
        <w:vertAlign w:val="baseline"/>
      </w:rPr>
    </w:lvl>
    <w:lvl w:ilvl="4">
      <w:start w:val="1"/>
      <w:numFmt w:val="decimal"/>
      <w:pStyle w:val="Legal5L5"/>
      <w:lvlText w:val="%1.%2.%3.%4.%5"/>
      <w:lvlJc w:val="left"/>
      <w:pPr>
        <w:tabs>
          <w:tab w:val="num" w:pos="2160"/>
        </w:tabs>
        <w:ind w:left="1440" w:hanging="720"/>
      </w:pPr>
      <w:rPr>
        <w:b w:val="0"/>
        <w:i w:val="0"/>
        <w:caps w:val="0"/>
        <w:strike w:val="0"/>
        <w:dstrike w:val="0"/>
        <w:vanish w:val="0"/>
        <w:color w:val="auto"/>
        <w:u w:val="none"/>
        <w:effect w:val="none"/>
        <w:vertAlign w:val="baseline"/>
      </w:rPr>
    </w:lvl>
    <w:lvl w:ilvl="5">
      <w:start w:val="1"/>
      <w:numFmt w:val="lowerLetter"/>
      <w:pStyle w:val="Legal5L6"/>
      <w:lvlText w:val="(%6)"/>
      <w:lvlJc w:val="left"/>
      <w:pPr>
        <w:tabs>
          <w:tab w:val="num" w:pos="2160"/>
        </w:tabs>
        <w:ind w:left="2160" w:hanging="720"/>
      </w:pPr>
      <w:rPr>
        <w:b w:val="0"/>
        <w:i w:val="0"/>
        <w:caps w:val="0"/>
        <w:strike w:val="0"/>
        <w:dstrike w:val="0"/>
        <w:vanish w:val="0"/>
        <w:color w:val="auto"/>
        <w:u w:val="none"/>
        <w:effect w:val="none"/>
        <w:vertAlign w:val="baseline"/>
      </w:rPr>
    </w:lvl>
    <w:lvl w:ilvl="6">
      <w:start w:val="1"/>
      <w:numFmt w:val="lowerRoman"/>
      <w:pStyle w:val="Legal5L7"/>
      <w:lvlText w:val="(%7)"/>
      <w:lvlJc w:val="left"/>
      <w:pPr>
        <w:tabs>
          <w:tab w:val="num" w:pos="1440"/>
        </w:tabs>
        <w:ind w:left="1440" w:hanging="720"/>
      </w:pPr>
      <w:rPr>
        <w:b w:val="0"/>
        <w:i w:val="0"/>
        <w:caps w:val="0"/>
        <w:strike w:val="0"/>
        <w:dstrike w:val="0"/>
        <w:vanish w:val="0"/>
        <w:color w:val="auto"/>
        <w:u w:val="none"/>
        <w:effect w:val="none"/>
        <w:vertAlign w:val="baseline"/>
      </w:rPr>
    </w:lvl>
    <w:lvl w:ilvl="7">
      <w:start w:val="1"/>
      <w:numFmt w:val="upperLetter"/>
      <w:pStyle w:val="Legal5L8"/>
      <w:lvlText w:val="(%8)"/>
      <w:lvlJc w:val="left"/>
      <w:pPr>
        <w:tabs>
          <w:tab w:val="num" w:pos="3600"/>
        </w:tabs>
        <w:ind w:left="3600" w:hanging="720"/>
      </w:pPr>
      <w:rPr>
        <w:b w:val="0"/>
        <w:i w:val="0"/>
        <w:caps w:val="0"/>
        <w:strike w:val="0"/>
        <w:dstrike w:val="0"/>
        <w:vanish w:val="0"/>
        <w:color w:val="auto"/>
        <w:u w:val="none"/>
        <w:effect w:val="none"/>
        <w:vertAlign w:val="baseline"/>
      </w:rPr>
    </w:lvl>
    <w:lvl w:ilvl="8">
      <w:start w:val="1"/>
      <w:numFmt w:val="none"/>
      <w:lvlText w:val=""/>
      <w:lvlJc w:val="left"/>
      <w:pPr>
        <w:tabs>
          <w:tab w:val="num" w:pos="0"/>
        </w:tabs>
        <w:ind w:left="0" w:firstLine="0"/>
      </w:pPr>
      <w:rPr>
        <w:b w:val="0"/>
        <w:i w:val="0"/>
        <w:caps w:val="0"/>
        <w:strike w:val="0"/>
        <w:dstrike w:val="0"/>
        <w:vanish w:val="0"/>
        <w:color w:val="auto"/>
        <w:u w:val="none"/>
        <w:effect w:val="none"/>
        <w:vertAlign w:val="baseline"/>
      </w:rPr>
    </w:lvl>
  </w:abstractNum>
  <w:abstractNum w:abstractNumId="12" w15:restartNumberingAfterBreak="0">
    <w:nsid w:val="348C24AA"/>
    <w:multiLevelType w:val="hybridMultilevel"/>
    <w:tmpl w:val="CD966CC0"/>
    <w:lvl w:ilvl="0" w:tplc="649E8FCA">
      <w:start w:val="1"/>
      <w:numFmt w:val="decimal"/>
      <w:lvlText w:val="%1."/>
      <w:lvlJc w:val="left"/>
      <w:pPr>
        <w:ind w:left="1210" w:hanging="360"/>
      </w:pPr>
      <w:rPr>
        <w:rFonts w:hint="default"/>
      </w:rPr>
    </w:lvl>
    <w:lvl w:ilvl="1" w:tplc="10000019">
      <w:start w:val="1"/>
      <w:numFmt w:val="lowerLetter"/>
      <w:lvlText w:val="%2."/>
      <w:lvlJc w:val="left"/>
      <w:pPr>
        <w:ind w:left="1930" w:hanging="360"/>
      </w:pPr>
    </w:lvl>
    <w:lvl w:ilvl="2" w:tplc="1000001B">
      <w:start w:val="1"/>
      <w:numFmt w:val="lowerRoman"/>
      <w:lvlText w:val="%3."/>
      <w:lvlJc w:val="right"/>
      <w:pPr>
        <w:ind w:left="2650" w:hanging="180"/>
      </w:pPr>
    </w:lvl>
    <w:lvl w:ilvl="3" w:tplc="1000000F" w:tentative="1">
      <w:start w:val="1"/>
      <w:numFmt w:val="decimal"/>
      <w:lvlText w:val="%4."/>
      <w:lvlJc w:val="left"/>
      <w:pPr>
        <w:ind w:left="3370" w:hanging="360"/>
      </w:pPr>
    </w:lvl>
    <w:lvl w:ilvl="4" w:tplc="10000019" w:tentative="1">
      <w:start w:val="1"/>
      <w:numFmt w:val="lowerLetter"/>
      <w:lvlText w:val="%5."/>
      <w:lvlJc w:val="left"/>
      <w:pPr>
        <w:ind w:left="4090" w:hanging="360"/>
      </w:pPr>
    </w:lvl>
    <w:lvl w:ilvl="5" w:tplc="1000001B" w:tentative="1">
      <w:start w:val="1"/>
      <w:numFmt w:val="lowerRoman"/>
      <w:lvlText w:val="%6."/>
      <w:lvlJc w:val="right"/>
      <w:pPr>
        <w:ind w:left="4810" w:hanging="180"/>
      </w:pPr>
    </w:lvl>
    <w:lvl w:ilvl="6" w:tplc="1000000F" w:tentative="1">
      <w:start w:val="1"/>
      <w:numFmt w:val="decimal"/>
      <w:lvlText w:val="%7."/>
      <w:lvlJc w:val="left"/>
      <w:pPr>
        <w:ind w:left="5530" w:hanging="360"/>
      </w:pPr>
    </w:lvl>
    <w:lvl w:ilvl="7" w:tplc="10000019" w:tentative="1">
      <w:start w:val="1"/>
      <w:numFmt w:val="lowerLetter"/>
      <w:lvlText w:val="%8."/>
      <w:lvlJc w:val="left"/>
      <w:pPr>
        <w:ind w:left="6250" w:hanging="360"/>
      </w:pPr>
    </w:lvl>
    <w:lvl w:ilvl="8" w:tplc="1000001B" w:tentative="1">
      <w:start w:val="1"/>
      <w:numFmt w:val="lowerRoman"/>
      <w:lvlText w:val="%9."/>
      <w:lvlJc w:val="right"/>
      <w:pPr>
        <w:ind w:left="6970" w:hanging="180"/>
      </w:pPr>
    </w:lvl>
  </w:abstractNum>
  <w:abstractNum w:abstractNumId="13" w15:restartNumberingAfterBreak="0">
    <w:nsid w:val="35B65185"/>
    <w:multiLevelType w:val="hybridMultilevel"/>
    <w:tmpl w:val="4366F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617890"/>
    <w:multiLevelType w:val="multilevel"/>
    <w:tmpl w:val="D2D4BB6E"/>
    <w:lvl w:ilvl="0">
      <w:start w:val="1"/>
      <w:numFmt w:val="decimal"/>
      <w:pStyle w:val="Par1"/>
      <w:lvlText w:val="%1"/>
      <w:lvlJc w:val="left"/>
      <w:pPr>
        <w:tabs>
          <w:tab w:val="num" w:pos="432"/>
        </w:tabs>
        <w:ind w:left="432" w:hanging="432"/>
      </w:pPr>
      <w:rPr>
        <w:rFonts w:hint="default"/>
      </w:rPr>
    </w:lvl>
    <w:lvl w:ilvl="1">
      <w:start w:val="1"/>
      <w:numFmt w:val="lowerLetter"/>
      <w:pStyle w:val="Par2"/>
      <w:lvlText w:val="%2)"/>
      <w:lvlJc w:val="left"/>
      <w:pPr>
        <w:tabs>
          <w:tab w:val="num" w:pos="864"/>
        </w:tabs>
        <w:ind w:left="864" w:hanging="432"/>
      </w:pPr>
      <w:rPr>
        <w:rFonts w:hint="default"/>
      </w:rPr>
    </w:lvl>
    <w:lvl w:ilvl="2">
      <w:start w:val="1"/>
      <w:numFmt w:val="lowerRoman"/>
      <w:pStyle w:val="Par3"/>
      <w:lvlText w:val="%3)"/>
      <w:lvlJc w:val="left"/>
      <w:pPr>
        <w:tabs>
          <w:tab w:val="num" w:pos="1296"/>
        </w:tabs>
        <w:ind w:left="1296" w:hanging="432"/>
      </w:pPr>
      <w:rPr>
        <w:rFonts w:hint="default"/>
      </w:rPr>
    </w:lvl>
    <w:lvl w:ilvl="3">
      <w:start w:val="1"/>
      <w:numFmt w:val="decimal"/>
      <w:lvlText w:val="(%4)"/>
      <w:lvlJc w:val="left"/>
      <w:pPr>
        <w:tabs>
          <w:tab w:val="num" w:pos="1872"/>
        </w:tabs>
        <w:ind w:left="1872" w:hanging="360"/>
      </w:pPr>
      <w:rPr>
        <w:rFonts w:hint="default"/>
      </w:rPr>
    </w:lvl>
    <w:lvl w:ilvl="4">
      <w:start w:val="1"/>
      <w:numFmt w:val="lowerLetter"/>
      <w:lvlText w:val="%5)"/>
      <w:lvlJc w:val="left"/>
      <w:pPr>
        <w:tabs>
          <w:tab w:val="num" w:pos="2232"/>
        </w:tabs>
        <w:ind w:left="2232" w:hanging="360"/>
      </w:pPr>
      <w:rPr>
        <w:rFonts w:hint="default"/>
      </w:rPr>
    </w:lvl>
    <w:lvl w:ilvl="5">
      <w:start w:val="1"/>
      <w:numFmt w:val="lowerRoman"/>
      <w:lvlText w:val="(%6)"/>
      <w:lvlJc w:val="left"/>
      <w:pPr>
        <w:tabs>
          <w:tab w:val="num" w:pos="2592"/>
        </w:tabs>
        <w:ind w:left="2592" w:hanging="360"/>
      </w:pPr>
      <w:rPr>
        <w:rFonts w:hint="default"/>
      </w:rPr>
    </w:lvl>
    <w:lvl w:ilvl="6">
      <w:start w:val="1"/>
      <w:numFmt w:val="decimal"/>
      <w:lvlText w:val="%7."/>
      <w:lvlJc w:val="left"/>
      <w:pPr>
        <w:tabs>
          <w:tab w:val="num" w:pos="2952"/>
        </w:tabs>
        <w:ind w:left="2952" w:hanging="360"/>
      </w:pPr>
      <w:rPr>
        <w:rFonts w:hint="default"/>
      </w:rPr>
    </w:lvl>
    <w:lvl w:ilvl="7">
      <w:start w:val="1"/>
      <w:numFmt w:val="lowerLetter"/>
      <w:lvlText w:val="%8."/>
      <w:lvlJc w:val="left"/>
      <w:pPr>
        <w:tabs>
          <w:tab w:val="num" w:pos="3312"/>
        </w:tabs>
        <w:ind w:left="3312" w:hanging="360"/>
      </w:pPr>
      <w:rPr>
        <w:rFonts w:hint="default"/>
      </w:rPr>
    </w:lvl>
    <w:lvl w:ilvl="8">
      <w:start w:val="1"/>
      <w:numFmt w:val="lowerRoman"/>
      <w:lvlText w:val="%9."/>
      <w:lvlJc w:val="left"/>
      <w:pPr>
        <w:tabs>
          <w:tab w:val="num" w:pos="3672"/>
        </w:tabs>
        <w:ind w:left="3672" w:hanging="360"/>
      </w:pPr>
      <w:rPr>
        <w:rFonts w:hint="default"/>
      </w:rPr>
    </w:lvl>
  </w:abstractNum>
  <w:abstractNum w:abstractNumId="15" w15:restartNumberingAfterBreak="0">
    <w:nsid w:val="537D2A2D"/>
    <w:multiLevelType w:val="hybridMultilevel"/>
    <w:tmpl w:val="9222A276"/>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6" w15:restartNumberingAfterBreak="0">
    <w:nsid w:val="587A09F4"/>
    <w:multiLevelType w:val="hybridMultilevel"/>
    <w:tmpl w:val="FE48B446"/>
    <w:lvl w:ilvl="0" w:tplc="1F06A6A8">
      <w:numFmt w:val="bullet"/>
      <w:lvlText w:val="•"/>
      <w:lvlJc w:val="left"/>
      <w:pPr>
        <w:ind w:left="720" w:hanging="360"/>
      </w:pPr>
      <w:rPr>
        <w:rFonts w:ascii="Verdana" w:eastAsiaTheme="minorHAnsi" w:hAnsi="Verdana" w:cstheme="minorBid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5ADA2D98"/>
    <w:multiLevelType w:val="hybridMultilevel"/>
    <w:tmpl w:val="CFDC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FD3BAF"/>
    <w:multiLevelType w:val="hybridMultilevel"/>
    <w:tmpl w:val="C89C8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8D46D0"/>
    <w:multiLevelType w:val="hybridMultilevel"/>
    <w:tmpl w:val="6396EDC0"/>
    <w:lvl w:ilvl="0" w:tplc="5CFA7D1E">
      <w:numFmt w:val="bullet"/>
      <w:lvlText w:val=""/>
      <w:lvlJc w:val="left"/>
      <w:pPr>
        <w:ind w:left="1080" w:hanging="720"/>
      </w:pPr>
      <w:rPr>
        <w:rFonts w:ascii="Symbol" w:eastAsia="Symbol" w:hAnsi="Symbol" w:cs="Symbol" w:hint="default"/>
      </w:rPr>
    </w:lvl>
    <w:lvl w:ilvl="1" w:tplc="8F4AA35E">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44B30"/>
    <w:multiLevelType w:val="multilevel"/>
    <w:tmpl w:val="83B415F4"/>
    <w:name w:val="KBullets"/>
    <w:lvl w:ilvl="0">
      <w:start w:val="1"/>
      <w:numFmt w:val="bullet"/>
      <w:pStyle w:val="KBullet1"/>
      <w:lvlText w:val="●"/>
      <w:lvlJc w:val="right"/>
      <w:pPr>
        <w:tabs>
          <w:tab w:val="num" w:pos="720"/>
        </w:tabs>
        <w:ind w:left="720" w:hanging="720"/>
      </w:pPr>
    </w:lvl>
    <w:lvl w:ilvl="1">
      <w:numFmt w:val="bullet"/>
      <w:pStyle w:val="KBullet2"/>
      <w:lvlText w:val="●"/>
      <w:lvlJc w:val="right"/>
      <w:pPr>
        <w:tabs>
          <w:tab w:val="num" w:pos="1440"/>
        </w:tabs>
        <w:ind w:left="1440" w:hanging="720"/>
      </w:pPr>
    </w:lvl>
    <w:lvl w:ilvl="2">
      <w:numFmt w:val="bullet"/>
      <w:lvlRestart w:val="1"/>
      <w:pStyle w:val="KBullet3"/>
      <w:lvlText w:val="●"/>
      <w:lvlJc w:val="right"/>
      <w:pPr>
        <w:tabs>
          <w:tab w:val="num" w:pos="2160"/>
        </w:tabs>
        <w:ind w:left="2160" w:hanging="720"/>
      </w:pPr>
    </w:lvl>
    <w:lvl w:ilvl="3">
      <w:numFmt w:val="bullet"/>
      <w:lvlRestart w:val="1"/>
      <w:pStyle w:val="KBullet4"/>
      <w:lvlText w:val="●"/>
      <w:lvlJc w:val="right"/>
      <w:pPr>
        <w:tabs>
          <w:tab w:val="num" w:pos="2880"/>
        </w:tabs>
        <w:ind w:left="2880" w:hanging="720"/>
      </w:pPr>
    </w:lvl>
    <w:lvl w:ilvl="4">
      <w:numFmt w:val="bullet"/>
      <w:lvlRestart w:val="1"/>
      <w:pStyle w:val="KBullet5"/>
      <w:lvlText w:val="●"/>
      <w:lvlJc w:val="right"/>
      <w:pPr>
        <w:tabs>
          <w:tab w:val="num" w:pos="3600"/>
        </w:tabs>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0693E6D"/>
    <w:multiLevelType w:val="hybridMultilevel"/>
    <w:tmpl w:val="548E4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47B5B8F"/>
    <w:multiLevelType w:val="multilevel"/>
    <w:tmpl w:val="6B96B2B6"/>
    <w:lvl w:ilvl="0">
      <w:start w:val="1"/>
      <w:numFmt w:val="decimal"/>
      <w:lvlText w:val="%1"/>
      <w:lvlJc w:val="left"/>
      <w:pPr>
        <w:ind w:left="432" w:hanging="432"/>
      </w:pPr>
    </w:lvl>
    <w:lvl w:ilvl="1">
      <w:start w:val="1"/>
      <w:numFmt w:val="decimal"/>
      <w:pStyle w:val="Titre21"/>
      <w:lvlText w:val="%1.%2"/>
      <w:lvlJc w:val="left"/>
      <w:pPr>
        <w:ind w:left="1002" w:hanging="576"/>
      </w:pPr>
      <w:rPr>
        <w:rFonts w:ascii="Arial" w:hAnsi="Arial" w:cs="Arial" w:hint="default"/>
        <w:b/>
        <w:sz w:val="20"/>
        <w:szCs w:val="20"/>
      </w:rPr>
    </w:lvl>
    <w:lvl w:ilvl="2">
      <w:start w:val="1"/>
      <w:numFmt w:val="decimal"/>
      <w:pStyle w:val="Titre31"/>
      <w:lvlText w:val="%1.%2.%3"/>
      <w:lvlJc w:val="left"/>
      <w:pPr>
        <w:ind w:left="720" w:hanging="720"/>
      </w:pPr>
    </w:lvl>
    <w:lvl w:ilvl="3">
      <w:start w:val="1"/>
      <w:numFmt w:val="decimal"/>
      <w:pStyle w:val="Titre41"/>
      <w:lvlText w:val="%1.%2.%3.%4"/>
      <w:lvlJc w:val="left"/>
      <w:pPr>
        <w:ind w:left="864" w:hanging="864"/>
      </w:pPr>
    </w:lvl>
    <w:lvl w:ilvl="4">
      <w:start w:val="1"/>
      <w:numFmt w:val="decimal"/>
      <w:pStyle w:val="Titre51"/>
      <w:lvlText w:val="%1.%2.%3.%4.%5"/>
      <w:lvlJc w:val="left"/>
      <w:pPr>
        <w:ind w:left="1008" w:hanging="1008"/>
      </w:pPr>
    </w:lvl>
    <w:lvl w:ilvl="5">
      <w:start w:val="1"/>
      <w:numFmt w:val="decimal"/>
      <w:pStyle w:val="Titre61"/>
      <w:lvlText w:val="%1.%2.%3.%4.%5.%6"/>
      <w:lvlJc w:val="left"/>
      <w:pPr>
        <w:ind w:left="1152" w:hanging="1152"/>
      </w:pPr>
    </w:lvl>
    <w:lvl w:ilvl="6">
      <w:start w:val="1"/>
      <w:numFmt w:val="decimal"/>
      <w:pStyle w:val="Titre71"/>
      <w:lvlText w:val="%1.%2.%3.%4.%5.%6.%7"/>
      <w:lvlJc w:val="left"/>
      <w:pPr>
        <w:ind w:left="1296" w:hanging="1296"/>
      </w:pPr>
    </w:lvl>
    <w:lvl w:ilvl="7">
      <w:start w:val="1"/>
      <w:numFmt w:val="decimal"/>
      <w:pStyle w:val="Titre81"/>
      <w:lvlText w:val="%1.%2.%3.%4.%5.%6.%7.%8"/>
      <w:lvlJc w:val="left"/>
      <w:pPr>
        <w:ind w:left="1440" w:hanging="1440"/>
      </w:pPr>
    </w:lvl>
    <w:lvl w:ilvl="8">
      <w:start w:val="1"/>
      <w:numFmt w:val="decimal"/>
      <w:pStyle w:val="Titre91"/>
      <w:lvlText w:val="%1.%2.%3.%4.%5.%6.%7.%8.%9"/>
      <w:lvlJc w:val="left"/>
      <w:pPr>
        <w:ind w:left="1584" w:hanging="1584"/>
      </w:pPr>
    </w:lvl>
  </w:abstractNum>
  <w:abstractNum w:abstractNumId="23" w15:restartNumberingAfterBreak="0">
    <w:nsid w:val="77541774"/>
    <w:multiLevelType w:val="hybridMultilevel"/>
    <w:tmpl w:val="5768B6FC"/>
    <w:lvl w:ilvl="0" w:tplc="3264724C">
      <w:start w:val="1"/>
      <w:numFmt w:val="decimal"/>
      <w:lvlText w:val="%1."/>
      <w:lvlJc w:val="left"/>
      <w:pPr>
        <w:ind w:left="1570" w:hanging="360"/>
      </w:pPr>
      <w:rPr>
        <w:rFonts w:hint="default"/>
      </w:rPr>
    </w:lvl>
    <w:lvl w:ilvl="1" w:tplc="10000019">
      <w:start w:val="1"/>
      <w:numFmt w:val="lowerLetter"/>
      <w:lvlText w:val="%2."/>
      <w:lvlJc w:val="left"/>
      <w:pPr>
        <w:ind w:left="2290" w:hanging="360"/>
      </w:pPr>
    </w:lvl>
    <w:lvl w:ilvl="2" w:tplc="1000001B">
      <w:start w:val="1"/>
      <w:numFmt w:val="lowerRoman"/>
      <w:lvlText w:val="%3."/>
      <w:lvlJc w:val="right"/>
      <w:pPr>
        <w:ind w:left="3010" w:hanging="180"/>
      </w:pPr>
    </w:lvl>
    <w:lvl w:ilvl="3" w:tplc="1000000F" w:tentative="1">
      <w:start w:val="1"/>
      <w:numFmt w:val="decimal"/>
      <w:lvlText w:val="%4."/>
      <w:lvlJc w:val="left"/>
      <w:pPr>
        <w:ind w:left="3730" w:hanging="360"/>
      </w:pPr>
    </w:lvl>
    <w:lvl w:ilvl="4" w:tplc="10000019" w:tentative="1">
      <w:start w:val="1"/>
      <w:numFmt w:val="lowerLetter"/>
      <w:lvlText w:val="%5."/>
      <w:lvlJc w:val="left"/>
      <w:pPr>
        <w:ind w:left="4450" w:hanging="360"/>
      </w:pPr>
    </w:lvl>
    <w:lvl w:ilvl="5" w:tplc="1000001B" w:tentative="1">
      <w:start w:val="1"/>
      <w:numFmt w:val="lowerRoman"/>
      <w:lvlText w:val="%6."/>
      <w:lvlJc w:val="right"/>
      <w:pPr>
        <w:ind w:left="5170" w:hanging="180"/>
      </w:pPr>
    </w:lvl>
    <w:lvl w:ilvl="6" w:tplc="1000000F" w:tentative="1">
      <w:start w:val="1"/>
      <w:numFmt w:val="decimal"/>
      <w:lvlText w:val="%7."/>
      <w:lvlJc w:val="left"/>
      <w:pPr>
        <w:ind w:left="5890" w:hanging="360"/>
      </w:pPr>
    </w:lvl>
    <w:lvl w:ilvl="7" w:tplc="10000019" w:tentative="1">
      <w:start w:val="1"/>
      <w:numFmt w:val="lowerLetter"/>
      <w:lvlText w:val="%8."/>
      <w:lvlJc w:val="left"/>
      <w:pPr>
        <w:ind w:left="6610" w:hanging="360"/>
      </w:pPr>
    </w:lvl>
    <w:lvl w:ilvl="8" w:tplc="1000001B" w:tentative="1">
      <w:start w:val="1"/>
      <w:numFmt w:val="lowerRoman"/>
      <w:lvlText w:val="%9."/>
      <w:lvlJc w:val="right"/>
      <w:pPr>
        <w:ind w:left="7330" w:hanging="180"/>
      </w:pPr>
    </w:lvl>
  </w:abstractNum>
  <w:abstractNum w:abstractNumId="24" w15:restartNumberingAfterBreak="0">
    <w:nsid w:val="78F231B9"/>
    <w:multiLevelType w:val="hybridMultilevel"/>
    <w:tmpl w:val="76E2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D22A97"/>
    <w:multiLevelType w:val="hybridMultilevel"/>
    <w:tmpl w:val="5D4EE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E71649"/>
    <w:multiLevelType w:val="multilevel"/>
    <w:tmpl w:val="6CBE4534"/>
    <w:lvl w:ilvl="0">
      <w:start w:val="1"/>
      <w:numFmt w:val="decimal"/>
      <w:lvlText w:val="(%1)"/>
      <w:lvlJc w:val="left"/>
      <w:pPr>
        <w:ind w:left="1353" w:hanging="360"/>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num w:numId="1" w16cid:durableId="1362974353">
    <w:abstractNumId w:val="2"/>
  </w:num>
  <w:num w:numId="2" w16cid:durableId="774642003">
    <w:abstractNumId w:val="5"/>
  </w:num>
  <w:num w:numId="3" w16cid:durableId="980691445">
    <w:abstractNumId w:val="22"/>
  </w:num>
  <w:num w:numId="4" w16cid:durableId="262226851">
    <w:abstractNumId w:val="14"/>
  </w:num>
  <w:num w:numId="5" w16cid:durableId="1960605747">
    <w:abstractNumId w:val="6"/>
  </w:num>
  <w:num w:numId="6" w16cid:durableId="210458815">
    <w:abstractNumId w:val="10"/>
  </w:num>
  <w:num w:numId="7" w16cid:durableId="1044332642">
    <w:abstractNumId w:val="20"/>
  </w:num>
  <w:num w:numId="8" w16cid:durableId="549221678">
    <w:abstractNumId w:val="19"/>
  </w:num>
  <w:num w:numId="9" w16cid:durableId="1515416217">
    <w:abstractNumId w:val="11"/>
  </w:num>
  <w:num w:numId="10" w16cid:durableId="1493789001">
    <w:abstractNumId w:val="17"/>
  </w:num>
  <w:num w:numId="11" w16cid:durableId="2058891304">
    <w:abstractNumId w:val="9"/>
  </w:num>
  <w:num w:numId="12" w16cid:durableId="50083050">
    <w:abstractNumId w:val="16"/>
  </w:num>
  <w:num w:numId="13" w16cid:durableId="50660100">
    <w:abstractNumId w:val="12"/>
  </w:num>
  <w:num w:numId="14" w16cid:durableId="1924560263">
    <w:abstractNumId w:val="23"/>
  </w:num>
  <w:num w:numId="15" w16cid:durableId="267322025">
    <w:abstractNumId w:val="8"/>
  </w:num>
  <w:num w:numId="16" w16cid:durableId="486942659">
    <w:abstractNumId w:val="0"/>
  </w:num>
  <w:num w:numId="17" w16cid:durableId="475685120">
    <w:abstractNumId w:val="1"/>
  </w:num>
  <w:num w:numId="18" w16cid:durableId="272520806">
    <w:abstractNumId w:val="3"/>
  </w:num>
  <w:num w:numId="19" w16cid:durableId="1259749903">
    <w:abstractNumId w:val="15"/>
  </w:num>
  <w:num w:numId="20" w16cid:durableId="2100129845">
    <w:abstractNumId w:val="21"/>
  </w:num>
  <w:num w:numId="21" w16cid:durableId="2065592535">
    <w:abstractNumId w:val="25"/>
  </w:num>
  <w:num w:numId="22" w16cid:durableId="898394468">
    <w:abstractNumId w:val="24"/>
  </w:num>
  <w:num w:numId="23" w16cid:durableId="1879274286">
    <w:abstractNumId w:val="26"/>
  </w:num>
  <w:num w:numId="24" w16cid:durableId="836699386">
    <w:abstractNumId w:val="4"/>
  </w:num>
  <w:num w:numId="25" w16cid:durableId="154418524">
    <w:abstractNumId w:val="13"/>
  </w:num>
  <w:num w:numId="26" w16cid:durableId="872229842">
    <w:abstractNumId w:val="18"/>
  </w:num>
  <w:num w:numId="27" w16cid:durableId="1707826917">
    <w:abstractNumId w:val="7"/>
  </w:num>
  <w:num w:numId="28" w16cid:durableId="19609887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29437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07528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9745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8447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A5C"/>
    <w:rsid w:val="00000992"/>
    <w:rsid w:val="0000211B"/>
    <w:rsid w:val="0000237D"/>
    <w:rsid w:val="000026C6"/>
    <w:rsid w:val="00002908"/>
    <w:rsid w:val="00002ADE"/>
    <w:rsid w:val="00004E09"/>
    <w:rsid w:val="00005ECB"/>
    <w:rsid w:val="00006905"/>
    <w:rsid w:val="00006C02"/>
    <w:rsid w:val="000115C6"/>
    <w:rsid w:val="00013579"/>
    <w:rsid w:val="0001654D"/>
    <w:rsid w:val="00017289"/>
    <w:rsid w:val="00017B65"/>
    <w:rsid w:val="000203D3"/>
    <w:rsid w:val="00020C82"/>
    <w:rsid w:val="00021122"/>
    <w:rsid w:val="000212D1"/>
    <w:rsid w:val="00021450"/>
    <w:rsid w:val="000222E2"/>
    <w:rsid w:val="000226B3"/>
    <w:rsid w:val="00023B73"/>
    <w:rsid w:val="00024C5D"/>
    <w:rsid w:val="00030A96"/>
    <w:rsid w:val="00030DF8"/>
    <w:rsid w:val="00030E9B"/>
    <w:rsid w:val="000320A6"/>
    <w:rsid w:val="00034D1D"/>
    <w:rsid w:val="0003575C"/>
    <w:rsid w:val="00041905"/>
    <w:rsid w:val="000437CA"/>
    <w:rsid w:val="00044084"/>
    <w:rsid w:val="000462D5"/>
    <w:rsid w:val="0004671B"/>
    <w:rsid w:val="00047E79"/>
    <w:rsid w:val="00050128"/>
    <w:rsid w:val="000531E7"/>
    <w:rsid w:val="00055F88"/>
    <w:rsid w:val="00057874"/>
    <w:rsid w:val="00060E04"/>
    <w:rsid w:val="0006339C"/>
    <w:rsid w:val="00070B1D"/>
    <w:rsid w:val="00075A15"/>
    <w:rsid w:val="00076747"/>
    <w:rsid w:val="00081EAD"/>
    <w:rsid w:val="00082FF5"/>
    <w:rsid w:val="000855B9"/>
    <w:rsid w:val="0009373B"/>
    <w:rsid w:val="00093CD4"/>
    <w:rsid w:val="00093DDE"/>
    <w:rsid w:val="0009418A"/>
    <w:rsid w:val="00094EE2"/>
    <w:rsid w:val="00096D7C"/>
    <w:rsid w:val="00097153"/>
    <w:rsid w:val="0009745B"/>
    <w:rsid w:val="00097A7C"/>
    <w:rsid w:val="000A0544"/>
    <w:rsid w:val="000A2343"/>
    <w:rsid w:val="000A2A0A"/>
    <w:rsid w:val="000A2AAC"/>
    <w:rsid w:val="000A3A40"/>
    <w:rsid w:val="000A52BF"/>
    <w:rsid w:val="000A5769"/>
    <w:rsid w:val="000B1046"/>
    <w:rsid w:val="000B178F"/>
    <w:rsid w:val="000B25DE"/>
    <w:rsid w:val="000B27F8"/>
    <w:rsid w:val="000B34DA"/>
    <w:rsid w:val="000B5187"/>
    <w:rsid w:val="000B737C"/>
    <w:rsid w:val="000B7D63"/>
    <w:rsid w:val="000C00DF"/>
    <w:rsid w:val="000C3F4B"/>
    <w:rsid w:val="000C3F66"/>
    <w:rsid w:val="000C58AF"/>
    <w:rsid w:val="000C6849"/>
    <w:rsid w:val="000D19FC"/>
    <w:rsid w:val="000D1BAB"/>
    <w:rsid w:val="000D23B8"/>
    <w:rsid w:val="000D3DF6"/>
    <w:rsid w:val="000D4D6A"/>
    <w:rsid w:val="000D5948"/>
    <w:rsid w:val="000E00D8"/>
    <w:rsid w:val="000E02CA"/>
    <w:rsid w:val="000E11DA"/>
    <w:rsid w:val="000E14A2"/>
    <w:rsid w:val="000E4D6C"/>
    <w:rsid w:val="000E4F3C"/>
    <w:rsid w:val="000E62BD"/>
    <w:rsid w:val="000E735C"/>
    <w:rsid w:val="000E75C7"/>
    <w:rsid w:val="000F22CD"/>
    <w:rsid w:val="000F46B3"/>
    <w:rsid w:val="000F63BD"/>
    <w:rsid w:val="000F7E0D"/>
    <w:rsid w:val="00100466"/>
    <w:rsid w:val="00102804"/>
    <w:rsid w:val="0010344D"/>
    <w:rsid w:val="0010622B"/>
    <w:rsid w:val="00110960"/>
    <w:rsid w:val="00111160"/>
    <w:rsid w:val="001123BC"/>
    <w:rsid w:val="00113F26"/>
    <w:rsid w:val="00115D96"/>
    <w:rsid w:val="00115EE0"/>
    <w:rsid w:val="00116FBD"/>
    <w:rsid w:val="0012481D"/>
    <w:rsid w:val="00124878"/>
    <w:rsid w:val="00124E89"/>
    <w:rsid w:val="0013127D"/>
    <w:rsid w:val="00131342"/>
    <w:rsid w:val="00131FCB"/>
    <w:rsid w:val="00134637"/>
    <w:rsid w:val="00135366"/>
    <w:rsid w:val="00135B4E"/>
    <w:rsid w:val="0014056A"/>
    <w:rsid w:val="00140B33"/>
    <w:rsid w:val="00141194"/>
    <w:rsid w:val="00142105"/>
    <w:rsid w:val="00143509"/>
    <w:rsid w:val="00150250"/>
    <w:rsid w:val="00151EA2"/>
    <w:rsid w:val="00152574"/>
    <w:rsid w:val="001530A1"/>
    <w:rsid w:val="001531D9"/>
    <w:rsid w:val="001550A8"/>
    <w:rsid w:val="00157FB6"/>
    <w:rsid w:val="001627B7"/>
    <w:rsid w:val="00162C37"/>
    <w:rsid w:val="001632F0"/>
    <w:rsid w:val="0016399C"/>
    <w:rsid w:val="00164C71"/>
    <w:rsid w:val="00164CA8"/>
    <w:rsid w:val="00165ACF"/>
    <w:rsid w:val="00167238"/>
    <w:rsid w:val="00167894"/>
    <w:rsid w:val="00170DDC"/>
    <w:rsid w:val="001727FB"/>
    <w:rsid w:val="0017456D"/>
    <w:rsid w:val="00175996"/>
    <w:rsid w:val="00175FDF"/>
    <w:rsid w:val="0018033E"/>
    <w:rsid w:val="00181BC4"/>
    <w:rsid w:val="00183A05"/>
    <w:rsid w:val="00184E13"/>
    <w:rsid w:val="00185F4C"/>
    <w:rsid w:val="00186741"/>
    <w:rsid w:val="0019200B"/>
    <w:rsid w:val="001930D0"/>
    <w:rsid w:val="001943EB"/>
    <w:rsid w:val="00197156"/>
    <w:rsid w:val="001A0708"/>
    <w:rsid w:val="001A139F"/>
    <w:rsid w:val="001A4742"/>
    <w:rsid w:val="001A5172"/>
    <w:rsid w:val="001A62AF"/>
    <w:rsid w:val="001A70E2"/>
    <w:rsid w:val="001A7463"/>
    <w:rsid w:val="001B0444"/>
    <w:rsid w:val="001B1D3A"/>
    <w:rsid w:val="001B1D97"/>
    <w:rsid w:val="001B22C8"/>
    <w:rsid w:val="001B6EE3"/>
    <w:rsid w:val="001B7DA7"/>
    <w:rsid w:val="001C1A84"/>
    <w:rsid w:val="001C33C1"/>
    <w:rsid w:val="001C5657"/>
    <w:rsid w:val="001C5BAC"/>
    <w:rsid w:val="001C7B46"/>
    <w:rsid w:val="001C7F82"/>
    <w:rsid w:val="001D1373"/>
    <w:rsid w:val="001D3746"/>
    <w:rsid w:val="001D47F3"/>
    <w:rsid w:val="001D6870"/>
    <w:rsid w:val="001D721A"/>
    <w:rsid w:val="001E6414"/>
    <w:rsid w:val="001F1587"/>
    <w:rsid w:val="001F2748"/>
    <w:rsid w:val="001F4499"/>
    <w:rsid w:val="001F48FA"/>
    <w:rsid w:val="001F5208"/>
    <w:rsid w:val="001F528F"/>
    <w:rsid w:val="001F64CB"/>
    <w:rsid w:val="001F6DF2"/>
    <w:rsid w:val="00204744"/>
    <w:rsid w:val="00204811"/>
    <w:rsid w:val="002052FF"/>
    <w:rsid w:val="0020686F"/>
    <w:rsid w:val="0020706A"/>
    <w:rsid w:val="0020755C"/>
    <w:rsid w:val="00207A4C"/>
    <w:rsid w:val="00211C9E"/>
    <w:rsid w:val="00213568"/>
    <w:rsid w:val="002144B4"/>
    <w:rsid w:val="00215090"/>
    <w:rsid w:val="00216F65"/>
    <w:rsid w:val="00220BDA"/>
    <w:rsid w:val="00221952"/>
    <w:rsid w:val="0022243E"/>
    <w:rsid w:val="00226328"/>
    <w:rsid w:val="0022669A"/>
    <w:rsid w:val="0022702F"/>
    <w:rsid w:val="00227FEE"/>
    <w:rsid w:val="0023131E"/>
    <w:rsid w:val="0023194F"/>
    <w:rsid w:val="002328C6"/>
    <w:rsid w:val="00233CEF"/>
    <w:rsid w:val="00234786"/>
    <w:rsid w:val="00241654"/>
    <w:rsid w:val="00241B51"/>
    <w:rsid w:val="0024459D"/>
    <w:rsid w:val="0024792B"/>
    <w:rsid w:val="002555B3"/>
    <w:rsid w:val="00256FE5"/>
    <w:rsid w:val="002577F4"/>
    <w:rsid w:val="00263408"/>
    <w:rsid w:val="00263C3C"/>
    <w:rsid w:val="00265769"/>
    <w:rsid w:val="00266D29"/>
    <w:rsid w:val="0026755D"/>
    <w:rsid w:val="002708C8"/>
    <w:rsid w:val="00270CF0"/>
    <w:rsid w:val="00271735"/>
    <w:rsid w:val="00271F90"/>
    <w:rsid w:val="002728EE"/>
    <w:rsid w:val="002737E0"/>
    <w:rsid w:val="002743B7"/>
    <w:rsid w:val="0027490A"/>
    <w:rsid w:val="00275402"/>
    <w:rsid w:val="00275DC2"/>
    <w:rsid w:val="00276B51"/>
    <w:rsid w:val="002807D2"/>
    <w:rsid w:val="002833ED"/>
    <w:rsid w:val="002849C7"/>
    <w:rsid w:val="0028720B"/>
    <w:rsid w:val="002931E8"/>
    <w:rsid w:val="00294526"/>
    <w:rsid w:val="00294AEC"/>
    <w:rsid w:val="00294ED8"/>
    <w:rsid w:val="00294F87"/>
    <w:rsid w:val="0029585B"/>
    <w:rsid w:val="002A0FC7"/>
    <w:rsid w:val="002A124F"/>
    <w:rsid w:val="002A3808"/>
    <w:rsid w:val="002A4926"/>
    <w:rsid w:val="002A57E3"/>
    <w:rsid w:val="002A580B"/>
    <w:rsid w:val="002A5FF7"/>
    <w:rsid w:val="002A7F63"/>
    <w:rsid w:val="002B12AA"/>
    <w:rsid w:val="002B2296"/>
    <w:rsid w:val="002B3C80"/>
    <w:rsid w:val="002B40E0"/>
    <w:rsid w:val="002B4196"/>
    <w:rsid w:val="002B4A12"/>
    <w:rsid w:val="002B5BCE"/>
    <w:rsid w:val="002B5CF9"/>
    <w:rsid w:val="002B66F9"/>
    <w:rsid w:val="002B7956"/>
    <w:rsid w:val="002B7F58"/>
    <w:rsid w:val="002C2DFE"/>
    <w:rsid w:val="002C4389"/>
    <w:rsid w:val="002C6E73"/>
    <w:rsid w:val="002D03DF"/>
    <w:rsid w:val="002D2EE9"/>
    <w:rsid w:val="002D32A5"/>
    <w:rsid w:val="002D377B"/>
    <w:rsid w:val="002D39CA"/>
    <w:rsid w:val="002D6604"/>
    <w:rsid w:val="002D6FE9"/>
    <w:rsid w:val="002E0F2C"/>
    <w:rsid w:val="002E178F"/>
    <w:rsid w:val="002E1A4E"/>
    <w:rsid w:val="002E1BF8"/>
    <w:rsid w:val="002E4D8A"/>
    <w:rsid w:val="002E57B9"/>
    <w:rsid w:val="002E7A2C"/>
    <w:rsid w:val="002F14B4"/>
    <w:rsid w:val="002F1FF8"/>
    <w:rsid w:val="002F38E1"/>
    <w:rsid w:val="002F6933"/>
    <w:rsid w:val="002F735C"/>
    <w:rsid w:val="00300B2B"/>
    <w:rsid w:val="00301879"/>
    <w:rsid w:val="00304B8E"/>
    <w:rsid w:val="00304E9A"/>
    <w:rsid w:val="00310123"/>
    <w:rsid w:val="00310AD1"/>
    <w:rsid w:val="00313982"/>
    <w:rsid w:val="00315C67"/>
    <w:rsid w:val="0031621B"/>
    <w:rsid w:val="00316A2B"/>
    <w:rsid w:val="00317B7D"/>
    <w:rsid w:val="00320924"/>
    <w:rsid w:val="00322805"/>
    <w:rsid w:val="003233FD"/>
    <w:rsid w:val="003250E9"/>
    <w:rsid w:val="0032593F"/>
    <w:rsid w:val="003302E3"/>
    <w:rsid w:val="0033460D"/>
    <w:rsid w:val="00335783"/>
    <w:rsid w:val="00337113"/>
    <w:rsid w:val="003378C7"/>
    <w:rsid w:val="0034076E"/>
    <w:rsid w:val="0034723A"/>
    <w:rsid w:val="00351391"/>
    <w:rsid w:val="003523B0"/>
    <w:rsid w:val="00357110"/>
    <w:rsid w:val="00364B6E"/>
    <w:rsid w:val="003653C2"/>
    <w:rsid w:val="00366C48"/>
    <w:rsid w:val="00366DE0"/>
    <w:rsid w:val="0037046B"/>
    <w:rsid w:val="00371C4C"/>
    <w:rsid w:val="00371FE3"/>
    <w:rsid w:val="00373155"/>
    <w:rsid w:val="00373EF3"/>
    <w:rsid w:val="00374069"/>
    <w:rsid w:val="003747E5"/>
    <w:rsid w:val="00380293"/>
    <w:rsid w:val="0038056D"/>
    <w:rsid w:val="00380EE4"/>
    <w:rsid w:val="00381003"/>
    <w:rsid w:val="003821DC"/>
    <w:rsid w:val="003827B3"/>
    <w:rsid w:val="00382885"/>
    <w:rsid w:val="00383519"/>
    <w:rsid w:val="003879A6"/>
    <w:rsid w:val="003916D4"/>
    <w:rsid w:val="0039185F"/>
    <w:rsid w:val="00391E49"/>
    <w:rsid w:val="00393916"/>
    <w:rsid w:val="003945B7"/>
    <w:rsid w:val="00394A1C"/>
    <w:rsid w:val="0039684B"/>
    <w:rsid w:val="003A00E5"/>
    <w:rsid w:val="003A06D6"/>
    <w:rsid w:val="003A18B1"/>
    <w:rsid w:val="003A28C7"/>
    <w:rsid w:val="003A2DD2"/>
    <w:rsid w:val="003A48BF"/>
    <w:rsid w:val="003A6CBE"/>
    <w:rsid w:val="003B058A"/>
    <w:rsid w:val="003B0F24"/>
    <w:rsid w:val="003B3F92"/>
    <w:rsid w:val="003B42C5"/>
    <w:rsid w:val="003B50EB"/>
    <w:rsid w:val="003B5504"/>
    <w:rsid w:val="003B56E4"/>
    <w:rsid w:val="003B5C6A"/>
    <w:rsid w:val="003B66A7"/>
    <w:rsid w:val="003B7A1F"/>
    <w:rsid w:val="003C2515"/>
    <w:rsid w:val="003C2F1B"/>
    <w:rsid w:val="003C457F"/>
    <w:rsid w:val="003C4C6F"/>
    <w:rsid w:val="003C4DF9"/>
    <w:rsid w:val="003D01DB"/>
    <w:rsid w:val="003D0532"/>
    <w:rsid w:val="003D1EA8"/>
    <w:rsid w:val="003D2AB9"/>
    <w:rsid w:val="003D46FF"/>
    <w:rsid w:val="003D7AEA"/>
    <w:rsid w:val="003D7E04"/>
    <w:rsid w:val="003E2EEB"/>
    <w:rsid w:val="003E378B"/>
    <w:rsid w:val="003E6E78"/>
    <w:rsid w:val="003F3F5F"/>
    <w:rsid w:val="003F7FDE"/>
    <w:rsid w:val="004005D6"/>
    <w:rsid w:val="004018E6"/>
    <w:rsid w:val="004031E5"/>
    <w:rsid w:val="0040340D"/>
    <w:rsid w:val="004037B1"/>
    <w:rsid w:val="004079B9"/>
    <w:rsid w:val="004104EF"/>
    <w:rsid w:val="00410A82"/>
    <w:rsid w:val="00411991"/>
    <w:rsid w:val="004137B5"/>
    <w:rsid w:val="00414F16"/>
    <w:rsid w:val="004150EA"/>
    <w:rsid w:val="00415499"/>
    <w:rsid w:val="00416262"/>
    <w:rsid w:val="00420895"/>
    <w:rsid w:val="00420B40"/>
    <w:rsid w:val="00422B18"/>
    <w:rsid w:val="00422DE5"/>
    <w:rsid w:val="00424678"/>
    <w:rsid w:val="00426CCC"/>
    <w:rsid w:val="00430030"/>
    <w:rsid w:val="004304F9"/>
    <w:rsid w:val="0043058D"/>
    <w:rsid w:val="00432EEC"/>
    <w:rsid w:val="00434C0C"/>
    <w:rsid w:val="00434DAB"/>
    <w:rsid w:val="00435A28"/>
    <w:rsid w:val="0043714F"/>
    <w:rsid w:val="004402CA"/>
    <w:rsid w:val="00440DC0"/>
    <w:rsid w:val="004420CC"/>
    <w:rsid w:val="00442FE6"/>
    <w:rsid w:val="004446D4"/>
    <w:rsid w:val="0044549E"/>
    <w:rsid w:val="004466F0"/>
    <w:rsid w:val="0044767C"/>
    <w:rsid w:val="0045132E"/>
    <w:rsid w:val="004529B4"/>
    <w:rsid w:val="00452F66"/>
    <w:rsid w:val="004536A4"/>
    <w:rsid w:val="004540A1"/>
    <w:rsid w:val="00454306"/>
    <w:rsid w:val="00454798"/>
    <w:rsid w:val="00457ED1"/>
    <w:rsid w:val="00457F18"/>
    <w:rsid w:val="004620C3"/>
    <w:rsid w:val="00466121"/>
    <w:rsid w:val="0047107B"/>
    <w:rsid w:val="00472AED"/>
    <w:rsid w:val="00481003"/>
    <w:rsid w:val="004847E0"/>
    <w:rsid w:val="00484B41"/>
    <w:rsid w:val="00484BF8"/>
    <w:rsid w:val="00486279"/>
    <w:rsid w:val="004866D2"/>
    <w:rsid w:val="00486D4A"/>
    <w:rsid w:val="00487C2B"/>
    <w:rsid w:val="00490BD4"/>
    <w:rsid w:val="00491F95"/>
    <w:rsid w:val="00492B85"/>
    <w:rsid w:val="004968FB"/>
    <w:rsid w:val="00497334"/>
    <w:rsid w:val="004973DC"/>
    <w:rsid w:val="00497573"/>
    <w:rsid w:val="0049782D"/>
    <w:rsid w:val="004A0204"/>
    <w:rsid w:val="004A0ECF"/>
    <w:rsid w:val="004A2862"/>
    <w:rsid w:val="004A3B76"/>
    <w:rsid w:val="004A3EF2"/>
    <w:rsid w:val="004B0F3B"/>
    <w:rsid w:val="004B0FD3"/>
    <w:rsid w:val="004B1D60"/>
    <w:rsid w:val="004B1EBF"/>
    <w:rsid w:val="004B230D"/>
    <w:rsid w:val="004B3059"/>
    <w:rsid w:val="004B4850"/>
    <w:rsid w:val="004B4A24"/>
    <w:rsid w:val="004B52E3"/>
    <w:rsid w:val="004C10BC"/>
    <w:rsid w:val="004D0E9C"/>
    <w:rsid w:val="004D2229"/>
    <w:rsid w:val="004D6F95"/>
    <w:rsid w:val="004E242C"/>
    <w:rsid w:val="004E343F"/>
    <w:rsid w:val="004E74F9"/>
    <w:rsid w:val="004E7A5A"/>
    <w:rsid w:val="004F071E"/>
    <w:rsid w:val="004F07B3"/>
    <w:rsid w:val="004F287C"/>
    <w:rsid w:val="004F4676"/>
    <w:rsid w:val="004F656E"/>
    <w:rsid w:val="004F79BE"/>
    <w:rsid w:val="004F7A16"/>
    <w:rsid w:val="00503900"/>
    <w:rsid w:val="005068F4"/>
    <w:rsid w:val="005070C4"/>
    <w:rsid w:val="00507BC1"/>
    <w:rsid w:val="00507E5E"/>
    <w:rsid w:val="00510B38"/>
    <w:rsid w:val="00510C16"/>
    <w:rsid w:val="00510E97"/>
    <w:rsid w:val="00511CB6"/>
    <w:rsid w:val="0051322E"/>
    <w:rsid w:val="00513B5D"/>
    <w:rsid w:val="00513FF8"/>
    <w:rsid w:val="005173C1"/>
    <w:rsid w:val="0052063C"/>
    <w:rsid w:val="00521C40"/>
    <w:rsid w:val="00522668"/>
    <w:rsid w:val="00526A53"/>
    <w:rsid w:val="00526D8E"/>
    <w:rsid w:val="00530978"/>
    <w:rsid w:val="0053189B"/>
    <w:rsid w:val="00531E11"/>
    <w:rsid w:val="0053227F"/>
    <w:rsid w:val="0053328A"/>
    <w:rsid w:val="005335F0"/>
    <w:rsid w:val="005338A0"/>
    <w:rsid w:val="0053526E"/>
    <w:rsid w:val="0053577F"/>
    <w:rsid w:val="005358C6"/>
    <w:rsid w:val="005358D2"/>
    <w:rsid w:val="005414B2"/>
    <w:rsid w:val="005419A1"/>
    <w:rsid w:val="00541E0C"/>
    <w:rsid w:val="005426D1"/>
    <w:rsid w:val="00543459"/>
    <w:rsid w:val="005479FC"/>
    <w:rsid w:val="00550FD3"/>
    <w:rsid w:val="00552EA3"/>
    <w:rsid w:val="0055332E"/>
    <w:rsid w:val="00556862"/>
    <w:rsid w:val="00564711"/>
    <w:rsid w:val="00564959"/>
    <w:rsid w:val="00566514"/>
    <w:rsid w:val="00566F4C"/>
    <w:rsid w:val="00567391"/>
    <w:rsid w:val="005704FB"/>
    <w:rsid w:val="00573924"/>
    <w:rsid w:val="00575FEF"/>
    <w:rsid w:val="00577F74"/>
    <w:rsid w:val="00580DD7"/>
    <w:rsid w:val="00581C69"/>
    <w:rsid w:val="005831B2"/>
    <w:rsid w:val="0058383F"/>
    <w:rsid w:val="00583BEF"/>
    <w:rsid w:val="005869BA"/>
    <w:rsid w:val="00587479"/>
    <w:rsid w:val="00587876"/>
    <w:rsid w:val="00587C4E"/>
    <w:rsid w:val="00590C49"/>
    <w:rsid w:val="00591B7D"/>
    <w:rsid w:val="00595F1B"/>
    <w:rsid w:val="00596CBE"/>
    <w:rsid w:val="005A1FF0"/>
    <w:rsid w:val="005A4B7F"/>
    <w:rsid w:val="005A63F0"/>
    <w:rsid w:val="005B1EEE"/>
    <w:rsid w:val="005B22AF"/>
    <w:rsid w:val="005B3040"/>
    <w:rsid w:val="005B3F19"/>
    <w:rsid w:val="005B5744"/>
    <w:rsid w:val="005C174E"/>
    <w:rsid w:val="005C34AF"/>
    <w:rsid w:val="005C6077"/>
    <w:rsid w:val="005C6EAB"/>
    <w:rsid w:val="005C767D"/>
    <w:rsid w:val="005D13C3"/>
    <w:rsid w:val="005D13D4"/>
    <w:rsid w:val="005D1E3A"/>
    <w:rsid w:val="005D26CC"/>
    <w:rsid w:val="005D2BBE"/>
    <w:rsid w:val="005D37C5"/>
    <w:rsid w:val="005D3A3F"/>
    <w:rsid w:val="005E0671"/>
    <w:rsid w:val="005E08E4"/>
    <w:rsid w:val="005E15E5"/>
    <w:rsid w:val="005E2889"/>
    <w:rsid w:val="005E6C9E"/>
    <w:rsid w:val="005F3132"/>
    <w:rsid w:val="00600940"/>
    <w:rsid w:val="006012A2"/>
    <w:rsid w:val="006020CD"/>
    <w:rsid w:val="006041F7"/>
    <w:rsid w:val="006061DC"/>
    <w:rsid w:val="00610B90"/>
    <w:rsid w:val="006126C4"/>
    <w:rsid w:val="00614CE2"/>
    <w:rsid w:val="006165DC"/>
    <w:rsid w:val="00617979"/>
    <w:rsid w:val="006204D0"/>
    <w:rsid w:val="0062101F"/>
    <w:rsid w:val="00623929"/>
    <w:rsid w:val="006259F0"/>
    <w:rsid w:val="00625AC4"/>
    <w:rsid w:val="0062637A"/>
    <w:rsid w:val="006272D9"/>
    <w:rsid w:val="00627B9C"/>
    <w:rsid w:val="0063007D"/>
    <w:rsid w:val="00631170"/>
    <w:rsid w:val="00632AC8"/>
    <w:rsid w:val="0063369E"/>
    <w:rsid w:val="006346B4"/>
    <w:rsid w:val="0063652C"/>
    <w:rsid w:val="00636B08"/>
    <w:rsid w:val="006406AF"/>
    <w:rsid w:val="00640A53"/>
    <w:rsid w:val="00643425"/>
    <w:rsid w:val="00643E58"/>
    <w:rsid w:val="0064515C"/>
    <w:rsid w:val="00647152"/>
    <w:rsid w:val="00650A11"/>
    <w:rsid w:val="006548C7"/>
    <w:rsid w:val="0066080D"/>
    <w:rsid w:val="0066094F"/>
    <w:rsid w:val="00662999"/>
    <w:rsid w:val="00663436"/>
    <w:rsid w:val="00663AEB"/>
    <w:rsid w:val="00664A5C"/>
    <w:rsid w:val="00665A4B"/>
    <w:rsid w:val="0066614B"/>
    <w:rsid w:val="00671C31"/>
    <w:rsid w:val="006726FF"/>
    <w:rsid w:val="00673958"/>
    <w:rsid w:val="00673F54"/>
    <w:rsid w:val="00674C4A"/>
    <w:rsid w:val="00674E81"/>
    <w:rsid w:val="00676C7B"/>
    <w:rsid w:val="00677A6B"/>
    <w:rsid w:val="00680200"/>
    <w:rsid w:val="00680A87"/>
    <w:rsid w:val="00681AB5"/>
    <w:rsid w:val="006822E2"/>
    <w:rsid w:val="00683FBE"/>
    <w:rsid w:val="006847DD"/>
    <w:rsid w:val="0068557F"/>
    <w:rsid w:val="00686D9C"/>
    <w:rsid w:val="00687B12"/>
    <w:rsid w:val="006908F7"/>
    <w:rsid w:val="00692A76"/>
    <w:rsid w:val="006951A5"/>
    <w:rsid w:val="006961DB"/>
    <w:rsid w:val="0069632A"/>
    <w:rsid w:val="00696561"/>
    <w:rsid w:val="006A6338"/>
    <w:rsid w:val="006A68DF"/>
    <w:rsid w:val="006A7291"/>
    <w:rsid w:val="006A79B1"/>
    <w:rsid w:val="006B4B23"/>
    <w:rsid w:val="006B4F89"/>
    <w:rsid w:val="006B5D5C"/>
    <w:rsid w:val="006B5F2E"/>
    <w:rsid w:val="006B7F63"/>
    <w:rsid w:val="006C04B0"/>
    <w:rsid w:val="006C70F7"/>
    <w:rsid w:val="006D0057"/>
    <w:rsid w:val="006D1DE5"/>
    <w:rsid w:val="006D448B"/>
    <w:rsid w:val="006D4F61"/>
    <w:rsid w:val="006D5AE1"/>
    <w:rsid w:val="006D6109"/>
    <w:rsid w:val="006D65BD"/>
    <w:rsid w:val="006D688E"/>
    <w:rsid w:val="006E067D"/>
    <w:rsid w:val="006E14A8"/>
    <w:rsid w:val="006E18FF"/>
    <w:rsid w:val="006E40A0"/>
    <w:rsid w:val="006E6E7B"/>
    <w:rsid w:val="006F6A09"/>
    <w:rsid w:val="006F7F8A"/>
    <w:rsid w:val="00700350"/>
    <w:rsid w:val="007008DC"/>
    <w:rsid w:val="00701604"/>
    <w:rsid w:val="0070171F"/>
    <w:rsid w:val="007023CB"/>
    <w:rsid w:val="00702CEC"/>
    <w:rsid w:val="00711A2C"/>
    <w:rsid w:val="00711AC6"/>
    <w:rsid w:val="00713280"/>
    <w:rsid w:val="00713978"/>
    <w:rsid w:val="00713AF7"/>
    <w:rsid w:val="00713E40"/>
    <w:rsid w:val="00714608"/>
    <w:rsid w:val="00715E7D"/>
    <w:rsid w:val="007170D3"/>
    <w:rsid w:val="00722E43"/>
    <w:rsid w:val="00724877"/>
    <w:rsid w:val="00730A2F"/>
    <w:rsid w:val="00730DB3"/>
    <w:rsid w:val="00731228"/>
    <w:rsid w:val="007325FF"/>
    <w:rsid w:val="00732C84"/>
    <w:rsid w:val="00732CC9"/>
    <w:rsid w:val="007333C9"/>
    <w:rsid w:val="00733954"/>
    <w:rsid w:val="00735B49"/>
    <w:rsid w:val="00735E80"/>
    <w:rsid w:val="0073623F"/>
    <w:rsid w:val="00736302"/>
    <w:rsid w:val="00743B2A"/>
    <w:rsid w:val="00744C1E"/>
    <w:rsid w:val="00747F37"/>
    <w:rsid w:val="00750876"/>
    <w:rsid w:val="007526B0"/>
    <w:rsid w:val="00754452"/>
    <w:rsid w:val="00754DDA"/>
    <w:rsid w:val="00755030"/>
    <w:rsid w:val="00756430"/>
    <w:rsid w:val="00756BB4"/>
    <w:rsid w:val="00757A70"/>
    <w:rsid w:val="00765CA8"/>
    <w:rsid w:val="00766A64"/>
    <w:rsid w:val="00770AD3"/>
    <w:rsid w:val="00772303"/>
    <w:rsid w:val="007761DE"/>
    <w:rsid w:val="007775C4"/>
    <w:rsid w:val="007779B4"/>
    <w:rsid w:val="0078263B"/>
    <w:rsid w:val="00782C5D"/>
    <w:rsid w:val="00785AC0"/>
    <w:rsid w:val="00790AB3"/>
    <w:rsid w:val="00794179"/>
    <w:rsid w:val="007959F2"/>
    <w:rsid w:val="00795F2A"/>
    <w:rsid w:val="007A07D5"/>
    <w:rsid w:val="007A23CD"/>
    <w:rsid w:val="007A5510"/>
    <w:rsid w:val="007A579D"/>
    <w:rsid w:val="007A5CDC"/>
    <w:rsid w:val="007A63EA"/>
    <w:rsid w:val="007A6F52"/>
    <w:rsid w:val="007B3C5C"/>
    <w:rsid w:val="007B70DA"/>
    <w:rsid w:val="007B7A7B"/>
    <w:rsid w:val="007C11FA"/>
    <w:rsid w:val="007C20F5"/>
    <w:rsid w:val="007C29F8"/>
    <w:rsid w:val="007C43C1"/>
    <w:rsid w:val="007C528C"/>
    <w:rsid w:val="007C5402"/>
    <w:rsid w:val="007C5AF9"/>
    <w:rsid w:val="007C6C8D"/>
    <w:rsid w:val="007D1537"/>
    <w:rsid w:val="007D17FF"/>
    <w:rsid w:val="007D476E"/>
    <w:rsid w:val="007D4A36"/>
    <w:rsid w:val="007D7860"/>
    <w:rsid w:val="007E2FD3"/>
    <w:rsid w:val="007E469F"/>
    <w:rsid w:val="007E57BA"/>
    <w:rsid w:val="007E66C8"/>
    <w:rsid w:val="007E677B"/>
    <w:rsid w:val="007E7E7D"/>
    <w:rsid w:val="007F457B"/>
    <w:rsid w:val="007F5007"/>
    <w:rsid w:val="007F5C29"/>
    <w:rsid w:val="0080181A"/>
    <w:rsid w:val="0080329C"/>
    <w:rsid w:val="0080401F"/>
    <w:rsid w:val="00805530"/>
    <w:rsid w:val="00805C60"/>
    <w:rsid w:val="0080633E"/>
    <w:rsid w:val="008063C3"/>
    <w:rsid w:val="00807D14"/>
    <w:rsid w:val="00811E29"/>
    <w:rsid w:val="00817F6E"/>
    <w:rsid w:val="00820FA5"/>
    <w:rsid w:val="00821988"/>
    <w:rsid w:val="0082319A"/>
    <w:rsid w:val="00823C17"/>
    <w:rsid w:val="008241CA"/>
    <w:rsid w:val="00825EAD"/>
    <w:rsid w:val="00825F7F"/>
    <w:rsid w:val="00826E21"/>
    <w:rsid w:val="00827186"/>
    <w:rsid w:val="00827D0F"/>
    <w:rsid w:val="00827D1E"/>
    <w:rsid w:val="00830121"/>
    <w:rsid w:val="00830974"/>
    <w:rsid w:val="0083142E"/>
    <w:rsid w:val="00831C02"/>
    <w:rsid w:val="00832696"/>
    <w:rsid w:val="0084255F"/>
    <w:rsid w:val="00851CCC"/>
    <w:rsid w:val="008534BE"/>
    <w:rsid w:val="00853A6D"/>
    <w:rsid w:val="008548BF"/>
    <w:rsid w:val="00855BBA"/>
    <w:rsid w:val="00856C62"/>
    <w:rsid w:val="008600B7"/>
    <w:rsid w:val="008628C3"/>
    <w:rsid w:val="008641E6"/>
    <w:rsid w:val="00865821"/>
    <w:rsid w:val="0086648E"/>
    <w:rsid w:val="00867E73"/>
    <w:rsid w:val="00871117"/>
    <w:rsid w:val="00877DC4"/>
    <w:rsid w:val="00880EBB"/>
    <w:rsid w:val="00882C80"/>
    <w:rsid w:val="00883577"/>
    <w:rsid w:val="00892349"/>
    <w:rsid w:val="00893E0A"/>
    <w:rsid w:val="00894811"/>
    <w:rsid w:val="00896291"/>
    <w:rsid w:val="00896773"/>
    <w:rsid w:val="008A089F"/>
    <w:rsid w:val="008A18A8"/>
    <w:rsid w:val="008A300B"/>
    <w:rsid w:val="008A5238"/>
    <w:rsid w:val="008A69DD"/>
    <w:rsid w:val="008B27B9"/>
    <w:rsid w:val="008B3ECB"/>
    <w:rsid w:val="008B57AC"/>
    <w:rsid w:val="008B72A2"/>
    <w:rsid w:val="008B746A"/>
    <w:rsid w:val="008C5F37"/>
    <w:rsid w:val="008C682C"/>
    <w:rsid w:val="008C78AE"/>
    <w:rsid w:val="008D2818"/>
    <w:rsid w:val="008D28BF"/>
    <w:rsid w:val="008D5866"/>
    <w:rsid w:val="008E0248"/>
    <w:rsid w:val="008E1524"/>
    <w:rsid w:val="008E241B"/>
    <w:rsid w:val="008E26A2"/>
    <w:rsid w:val="008E4847"/>
    <w:rsid w:val="008E7DF2"/>
    <w:rsid w:val="008F02B2"/>
    <w:rsid w:val="008F1B90"/>
    <w:rsid w:val="008F4D12"/>
    <w:rsid w:val="008F543E"/>
    <w:rsid w:val="008F61D5"/>
    <w:rsid w:val="008F6866"/>
    <w:rsid w:val="008F6BF5"/>
    <w:rsid w:val="008F7ACF"/>
    <w:rsid w:val="00900993"/>
    <w:rsid w:val="00901CA8"/>
    <w:rsid w:val="00901D24"/>
    <w:rsid w:val="00901F69"/>
    <w:rsid w:val="009034FB"/>
    <w:rsid w:val="00903D12"/>
    <w:rsid w:val="00904E0E"/>
    <w:rsid w:val="00906C46"/>
    <w:rsid w:val="00907863"/>
    <w:rsid w:val="009100BF"/>
    <w:rsid w:val="0091134E"/>
    <w:rsid w:val="00911B2E"/>
    <w:rsid w:val="00912935"/>
    <w:rsid w:val="00912ED2"/>
    <w:rsid w:val="00913A2F"/>
    <w:rsid w:val="0091424D"/>
    <w:rsid w:val="0091454B"/>
    <w:rsid w:val="00916E81"/>
    <w:rsid w:val="00922E6E"/>
    <w:rsid w:val="00922ED3"/>
    <w:rsid w:val="0092348B"/>
    <w:rsid w:val="00926380"/>
    <w:rsid w:val="00927B7A"/>
    <w:rsid w:val="0093035B"/>
    <w:rsid w:val="00930C8C"/>
    <w:rsid w:val="00931106"/>
    <w:rsid w:val="00931F29"/>
    <w:rsid w:val="00932D0E"/>
    <w:rsid w:val="00935072"/>
    <w:rsid w:val="00940F76"/>
    <w:rsid w:val="00943496"/>
    <w:rsid w:val="00946218"/>
    <w:rsid w:val="009509E0"/>
    <w:rsid w:val="00952241"/>
    <w:rsid w:val="0095270F"/>
    <w:rsid w:val="009539D9"/>
    <w:rsid w:val="00953B48"/>
    <w:rsid w:val="0095596E"/>
    <w:rsid w:val="00956949"/>
    <w:rsid w:val="00957437"/>
    <w:rsid w:val="00960351"/>
    <w:rsid w:val="00961BF7"/>
    <w:rsid w:val="0096216C"/>
    <w:rsid w:val="009633AC"/>
    <w:rsid w:val="0096525E"/>
    <w:rsid w:val="00970BA2"/>
    <w:rsid w:val="009716C6"/>
    <w:rsid w:val="00971AD7"/>
    <w:rsid w:val="00972FB8"/>
    <w:rsid w:val="009733B7"/>
    <w:rsid w:val="00973D68"/>
    <w:rsid w:val="00974CC2"/>
    <w:rsid w:val="009838B9"/>
    <w:rsid w:val="009839DC"/>
    <w:rsid w:val="00983DCA"/>
    <w:rsid w:val="00984E48"/>
    <w:rsid w:val="00985CA2"/>
    <w:rsid w:val="00987BE4"/>
    <w:rsid w:val="00991B96"/>
    <w:rsid w:val="00991FFA"/>
    <w:rsid w:val="009936AA"/>
    <w:rsid w:val="0099422F"/>
    <w:rsid w:val="0099496C"/>
    <w:rsid w:val="00997D18"/>
    <w:rsid w:val="009A41D1"/>
    <w:rsid w:val="009A5E8B"/>
    <w:rsid w:val="009B6AF5"/>
    <w:rsid w:val="009C0ED8"/>
    <w:rsid w:val="009C13E2"/>
    <w:rsid w:val="009C62CA"/>
    <w:rsid w:val="009C64BB"/>
    <w:rsid w:val="009D053B"/>
    <w:rsid w:val="009D091A"/>
    <w:rsid w:val="009D1306"/>
    <w:rsid w:val="009D1CBC"/>
    <w:rsid w:val="009E1F02"/>
    <w:rsid w:val="009E4020"/>
    <w:rsid w:val="009E4F0C"/>
    <w:rsid w:val="009E5F7B"/>
    <w:rsid w:val="009E6CAD"/>
    <w:rsid w:val="009F315B"/>
    <w:rsid w:val="009F3AD8"/>
    <w:rsid w:val="009F4652"/>
    <w:rsid w:val="009F48DB"/>
    <w:rsid w:val="00A0084B"/>
    <w:rsid w:val="00A04895"/>
    <w:rsid w:val="00A04F17"/>
    <w:rsid w:val="00A07244"/>
    <w:rsid w:val="00A14132"/>
    <w:rsid w:val="00A1425E"/>
    <w:rsid w:val="00A156B0"/>
    <w:rsid w:val="00A15717"/>
    <w:rsid w:val="00A172B0"/>
    <w:rsid w:val="00A243EE"/>
    <w:rsid w:val="00A24799"/>
    <w:rsid w:val="00A259C2"/>
    <w:rsid w:val="00A26171"/>
    <w:rsid w:val="00A312A8"/>
    <w:rsid w:val="00A3221A"/>
    <w:rsid w:val="00A3230B"/>
    <w:rsid w:val="00A32439"/>
    <w:rsid w:val="00A33C61"/>
    <w:rsid w:val="00A341B3"/>
    <w:rsid w:val="00A3548D"/>
    <w:rsid w:val="00A36381"/>
    <w:rsid w:val="00A40B8B"/>
    <w:rsid w:val="00A51AB1"/>
    <w:rsid w:val="00A52F2C"/>
    <w:rsid w:val="00A573E3"/>
    <w:rsid w:val="00A60C0E"/>
    <w:rsid w:val="00A61D47"/>
    <w:rsid w:val="00A62C97"/>
    <w:rsid w:val="00A62FD6"/>
    <w:rsid w:val="00A63412"/>
    <w:rsid w:val="00A65158"/>
    <w:rsid w:val="00A66977"/>
    <w:rsid w:val="00A66E0B"/>
    <w:rsid w:val="00A66F47"/>
    <w:rsid w:val="00A67DFE"/>
    <w:rsid w:val="00A704D6"/>
    <w:rsid w:val="00A7190E"/>
    <w:rsid w:val="00A72525"/>
    <w:rsid w:val="00A72F0E"/>
    <w:rsid w:val="00A73770"/>
    <w:rsid w:val="00A83CAA"/>
    <w:rsid w:val="00A8485B"/>
    <w:rsid w:val="00A90A10"/>
    <w:rsid w:val="00A92824"/>
    <w:rsid w:val="00A972B5"/>
    <w:rsid w:val="00AA0BAF"/>
    <w:rsid w:val="00AA132C"/>
    <w:rsid w:val="00AA3C06"/>
    <w:rsid w:val="00AA3CD9"/>
    <w:rsid w:val="00AA4502"/>
    <w:rsid w:val="00AA4ECB"/>
    <w:rsid w:val="00AA60D0"/>
    <w:rsid w:val="00AB467C"/>
    <w:rsid w:val="00AB5D3F"/>
    <w:rsid w:val="00AB736E"/>
    <w:rsid w:val="00AC007B"/>
    <w:rsid w:val="00AC16DC"/>
    <w:rsid w:val="00AC1EBC"/>
    <w:rsid w:val="00AC2AD2"/>
    <w:rsid w:val="00AC4E3E"/>
    <w:rsid w:val="00AC5AA0"/>
    <w:rsid w:val="00AC64A0"/>
    <w:rsid w:val="00AC7A5D"/>
    <w:rsid w:val="00AC7F88"/>
    <w:rsid w:val="00AD0D9E"/>
    <w:rsid w:val="00AD1629"/>
    <w:rsid w:val="00AD4694"/>
    <w:rsid w:val="00AE0F65"/>
    <w:rsid w:val="00AE1FB7"/>
    <w:rsid w:val="00AE212B"/>
    <w:rsid w:val="00AE2EFE"/>
    <w:rsid w:val="00AE314F"/>
    <w:rsid w:val="00AE32A2"/>
    <w:rsid w:val="00AE4F11"/>
    <w:rsid w:val="00AE5610"/>
    <w:rsid w:val="00AE64A7"/>
    <w:rsid w:val="00AE7A43"/>
    <w:rsid w:val="00AF31A7"/>
    <w:rsid w:val="00AF4993"/>
    <w:rsid w:val="00AF4EFE"/>
    <w:rsid w:val="00AF5702"/>
    <w:rsid w:val="00AF7002"/>
    <w:rsid w:val="00AF7B53"/>
    <w:rsid w:val="00B00FE1"/>
    <w:rsid w:val="00B021A7"/>
    <w:rsid w:val="00B0503E"/>
    <w:rsid w:val="00B06A13"/>
    <w:rsid w:val="00B07DC0"/>
    <w:rsid w:val="00B127AD"/>
    <w:rsid w:val="00B12B85"/>
    <w:rsid w:val="00B13A87"/>
    <w:rsid w:val="00B15806"/>
    <w:rsid w:val="00B16C9C"/>
    <w:rsid w:val="00B20C5E"/>
    <w:rsid w:val="00B2336A"/>
    <w:rsid w:val="00B23AB8"/>
    <w:rsid w:val="00B23DF5"/>
    <w:rsid w:val="00B23E06"/>
    <w:rsid w:val="00B24B39"/>
    <w:rsid w:val="00B252BF"/>
    <w:rsid w:val="00B260B3"/>
    <w:rsid w:val="00B26A85"/>
    <w:rsid w:val="00B3041C"/>
    <w:rsid w:val="00B306CB"/>
    <w:rsid w:val="00B30BA0"/>
    <w:rsid w:val="00B3107D"/>
    <w:rsid w:val="00B31BAD"/>
    <w:rsid w:val="00B31DF3"/>
    <w:rsid w:val="00B34935"/>
    <w:rsid w:val="00B354B1"/>
    <w:rsid w:val="00B359A9"/>
    <w:rsid w:val="00B36A35"/>
    <w:rsid w:val="00B36BAC"/>
    <w:rsid w:val="00B3724B"/>
    <w:rsid w:val="00B37B3E"/>
    <w:rsid w:val="00B40CBC"/>
    <w:rsid w:val="00B41E67"/>
    <w:rsid w:val="00B423AA"/>
    <w:rsid w:val="00B464D1"/>
    <w:rsid w:val="00B470BA"/>
    <w:rsid w:val="00B47A1B"/>
    <w:rsid w:val="00B509CE"/>
    <w:rsid w:val="00B52EA8"/>
    <w:rsid w:val="00B60B8E"/>
    <w:rsid w:val="00B60D41"/>
    <w:rsid w:val="00B619AF"/>
    <w:rsid w:val="00B61F99"/>
    <w:rsid w:val="00B621B6"/>
    <w:rsid w:val="00B62A84"/>
    <w:rsid w:val="00B63BEB"/>
    <w:rsid w:val="00B66C7B"/>
    <w:rsid w:val="00B66CEF"/>
    <w:rsid w:val="00B67397"/>
    <w:rsid w:val="00B676FF"/>
    <w:rsid w:val="00B73415"/>
    <w:rsid w:val="00B74453"/>
    <w:rsid w:val="00B83720"/>
    <w:rsid w:val="00B850D7"/>
    <w:rsid w:val="00B87693"/>
    <w:rsid w:val="00B911C3"/>
    <w:rsid w:val="00B91584"/>
    <w:rsid w:val="00B93972"/>
    <w:rsid w:val="00B93AE8"/>
    <w:rsid w:val="00B94432"/>
    <w:rsid w:val="00B96FE4"/>
    <w:rsid w:val="00B97A53"/>
    <w:rsid w:val="00B97D24"/>
    <w:rsid w:val="00BA1373"/>
    <w:rsid w:val="00BA2009"/>
    <w:rsid w:val="00BA22D2"/>
    <w:rsid w:val="00BA2534"/>
    <w:rsid w:val="00BA497B"/>
    <w:rsid w:val="00BA5C69"/>
    <w:rsid w:val="00BA667C"/>
    <w:rsid w:val="00BB2FEB"/>
    <w:rsid w:val="00BB4DCD"/>
    <w:rsid w:val="00BB6026"/>
    <w:rsid w:val="00BC04EC"/>
    <w:rsid w:val="00BC15CA"/>
    <w:rsid w:val="00BC2CCB"/>
    <w:rsid w:val="00BC3580"/>
    <w:rsid w:val="00BC4286"/>
    <w:rsid w:val="00BC6209"/>
    <w:rsid w:val="00BC625A"/>
    <w:rsid w:val="00BC7791"/>
    <w:rsid w:val="00BD1EB1"/>
    <w:rsid w:val="00BD4C0A"/>
    <w:rsid w:val="00BD5951"/>
    <w:rsid w:val="00BD7F5E"/>
    <w:rsid w:val="00BE23D1"/>
    <w:rsid w:val="00BE2F06"/>
    <w:rsid w:val="00BE5D60"/>
    <w:rsid w:val="00BE69CE"/>
    <w:rsid w:val="00BE7B18"/>
    <w:rsid w:val="00BF0B3C"/>
    <w:rsid w:val="00BF21B1"/>
    <w:rsid w:val="00BF3D27"/>
    <w:rsid w:val="00BF43E4"/>
    <w:rsid w:val="00BF545B"/>
    <w:rsid w:val="00BF607E"/>
    <w:rsid w:val="00C011E0"/>
    <w:rsid w:val="00C01701"/>
    <w:rsid w:val="00C0217A"/>
    <w:rsid w:val="00C03A51"/>
    <w:rsid w:val="00C043B0"/>
    <w:rsid w:val="00C04A8B"/>
    <w:rsid w:val="00C04BF2"/>
    <w:rsid w:val="00C061A7"/>
    <w:rsid w:val="00C07670"/>
    <w:rsid w:val="00C07C6D"/>
    <w:rsid w:val="00C11329"/>
    <w:rsid w:val="00C11FF6"/>
    <w:rsid w:val="00C122B4"/>
    <w:rsid w:val="00C1437B"/>
    <w:rsid w:val="00C14CD0"/>
    <w:rsid w:val="00C16FA1"/>
    <w:rsid w:val="00C217CE"/>
    <w:rsid w:val="00C21C6A"/>
    <w:rsid w:val="00C21E7D"/>
    <w:rsid w:val="00C220E5"/>
    <w:rsid w:val="00C22658"/>
    <w:rsid w:val="00C22C51"/>
    <w:rsid w:val="00C237E1"/>
    <w:rsid w:val="00C300EA"/>
    <w:rsid w:val="00C3229C"/>
    <w:rsid w:val="00C33906"/>
    <w:rsid w:val="00C34193"/>
    <w:rsid w:val="00C344A5"/>
    <w:rsid w:val="00C37F49"/>
    <w:rsid w:val="00C40444"/>
    <w:rsid w:val="00C411D8"/>
    <w:rsid w:val="00C424CB"/>
    <w:rsid w:val="00C424EA"/>
    <w:rsid w:val="00C44197"/>
    <w:rsid w:val="00C443B0"/>
    <w:rsid w:val="00C445F1"/>
    <w:rsid w:val="00C4664F"/>
    <w:rsid w:val="00C46761"/>
    <w:rsid w:val="00C467E1"/>
    <w:rsid w:val="00C47B29"/>
    <w:rsid w:val="00C47D1C"/>
    <w:rsid w:val="00C5298F"/>
    <w:rsid w:val="00C52D91"/>
    <w:rsid w:val="00C552FE"/>
    <w:rsid w:val="00C55776"/>
    <w:rsid w:val="00C55885"/>
    <w:rsid w:val="00C568E5"/>
    <w:rsid w:val="00C56A42"/>
    <w:rsid w:val="00C56A86"/>
    <w:rsid w:val="00C6090A"/>
    <w:rsid w:val="00C60923"/>
    <w:rsid w:val="00C6299E"/>
    <w:rsid w:val="00C7033E"/>
    <w:rsid w:val="00C71D09"/>
    <w:rsid w:val="00C721E6"/>
    <w:rsid w:val="00C74A4D"/>
    <w:rsid w:val="00C7739E"/>
    <w:rsid w:val="00C773E3"/>
    <w:rsid w:val="00C77720"/>
    <w:rsid w:val="00C77C9F"/>
    <w:rsid w:val="00C814C6"/>
    <w:rsid w:val="00C82303"/>
    <w:rsid w:val="00C82404"/>
    <w:rsid w:val="00C82952"/>
    <w:rsid w:val="00C82D0E"/>
    <w:rsid w:val="00C83126"/>
    <w:rsid w:val="00C86C99"/>
    <w:rsid w:val="00C876E8"/>
    <w:rsid w:val="00C90B46"/>
    <w:rsid w:val="00C90F8B"/>
    <w:rsid w:val="00C918D8"/>
    <w:rsid w:val="00C93B86"/>
    <w:rsid w:val="00C95F9D"/>
    <w:rsid w:val="00C96F62"/>
    <w:rsid w:val="00C97808"/>
    <w:rsid w:val="00CA2615"/>
    <w:rsid w:val="00CA2F47"/>
    <w:rsid w:val="00CA36F3"/>
    <w:rsid w:val="00CA48CE"/>
    <w:rsid w:val="00CA5838"/>
    <w:rsid w:val="00CA5CCF"/>
    <w:rsid w:val="00CA794D"/>
    <w:rsid w:val="00CA7A7A"/>
    <w:rsid w:val="00CA7CF6"/>
    <w:rsid w:val="00CB21F3"/>
    <w:rsid w:val="00CB4A9D"/>
    <w:rsid w:val="00CB55D8"/>
    <w:rsid w:val="00CB55E3"/>
    <w:rsid w:val="00CB66F6"/>
    <w:rsid w:val="00CB7198"/>
    <w:rsid w:val="00CC0F1B"/>
    <w:rsid w:val="00CC46FC"/>
    <w:rsid w:val="00CC4AFF"/>
    <w:rsid w:val="00CC4B34"/>
    <w:rsid w:val="00CC57FB"/>
    <w:rsid w:val="00CC685F"/>
    <w:rsid w:val="00CD0565"/>
    <w:rsid w:val="00CD1728"/>
    <w:rsid w:val="00CD2155"/>
    <w:rsid w:val="00CD2DBD"/>
    <w:rsid w:val="00CD4305"/>
    <w:rsid w:val="00CD5CC1"/>
    <w:rsid w:val="00CE0962"/>
    <w:rsid w:val="00CE0AE4"/>
    <w:rsid w:val="00CE13E6"/>
    <w:rsid w:val="00CE21F9"/>
    <w:rsid w:val="00CE4262"/>
    <w:rsid w:val="00CE4942"/>
    <w:rsid w:val="00CE58CA"/>
    <w:rsid w:val="00CE6A9D"/>
    <w:rsid w:val="00CE6C27"/>
    <w:rsid w:val="00CF1A6B"/>
    <w:rsid w:val="00D008DF"/>
    <w:rsid w:val="00D04F22"/>
    <w:rsid w:val="00D0720B"/>
    <w:rsid w:val="00D11407"/>
    <w:rsid w:val="00D13D0F"/>
    <w:rsid w:val="00D16344"/>
    <w:rsid w:val="00D16E7F"/>
    <w:rsid w:val="00D21341"/>
    <w:rsid w:val="00D21A5C"/>
    <w:rsid w:val="00D22C07"/>
    <w:rsid w:val="00D24B3A"/>
    <w:rsid w:val="00D32932"/>
    <w:rsid w:val="00D33BCA"/>
    <w:rsid w:val="00D34BDD"/>
    <w:rsid w:val="00D3569E"/>
    <w:rsid w:val="00D35A4B"/>
    <w:rsid w:val="00D35C6C"/>
    <w:rsid w:val="00D3699F"/>
    <w:rsid w:val="00D37683"/>
    <w:rsid w:val="00D37EBF"/>
    <w:rsid w:val="00D411C8"/>
    <w:rsid w:val="00D438B0"/>
    <w:rsid w:val="00D44435"/>
    <w:rsid w:val="00D44DA9"/>
    <w:rsid w:val="00D474B8"/>
    <w:rsid w:val="00D475ED"/>
    <w:rsid w:val="00D506FA"/>
    <w:rsid w:val="00D53156"/>
    <w:rsid w:val="00D54BFF"/>
    <w:rsid w:val="00D54D44"/>
    <w:rsid w:val="00D57457"/>
    <w:rsid w:val="00D57B99"/>
    <w:rsid w:val="00D57E94"/>
    <w:rsid w:val="00D601AA"/>
    <w:rsid w:val="00D6063D"/>
    <w:rsid w:val="00D65CD3"/>
    <w:rsid w:val="00D705D7"/>
    <w:rsid w:val="00D7361E"/>
    <w:rsid w:val="00D739AD"/>
    <w:rsid w:val="00D76408"/>
    <w:rsid w:val="00D764FF"/>
    <w:rsid w:val="00D76D7B"/>
    <w:rsid w:val="00D80C0D"/>
    <w:rsid w:val="00D80C54"/>
    <w:rsid w:val="00D828C7"/>
    <w:rsid w:val="00D8396E"/>
    <w:rsid w:val="00D840F0"/>
    <w:rsid w:val="00D86251"/>
    <w:rsid w:val="00D914EC"/>
    <w:rsid w:val="00D92AAA"/>
    <w:rsid w:val="00D932D9"/>
    <w:rsid w:val="00D93870"/>
    <w:rsid w:val="00D941F2"/>
    <w:rsid w:val="00D952E6"/>
    <w:rsid w:val="00D97EA5"/>
    <w:rsid w:val="00DA2509"/>
    <w:rsid w:val="00DA260D"/>
    <w:rsid w:val="00DA36C7"/>
    <w:rsid w:val="00DA3BA1"/>
    <w:rsid w:val="00DA61A4"/>
    <w:rsid w:val="00DA7D31"/>
    <w:rsid w:val="00DB1633"/>
    <w:rsid w:val="00DB1830"/>
    <w:rsid w:val="00DB2264"/>
    <w:rsid w:val="00DB3EDA"/>
    <w:rsid w:val="00DB6F86"/>
    <w:rsid w:val="00DC27B9"/>
    <w:rsid w:val="00DC41C8"/>
    <w:rsid w:val="00DC4558"/>
    <w:rsid w:val="00DC5F7B"/>
    <w:rsid w:val="00DC6D28"/>
    <w:rsid w:val="00DD04F0"/>
    <w:rsid w:val="00DD177F"/>
    <w:rsid w:val="00DD472A"/>
    <w:rsid w:val="00DD6027"/>
    <w:rsid w:val="00DD7431"/>
    <w:rsid w:val="00DE0BBF"/>
    <w:rsid w:val="00DE3315"/>
    <w:rsid w:val="00DE4930"/>
    <w:rsid w:val="00DE50E6"/>
    <w:rsid w:val="00DE7E0A"/>
    <w:rsid w:val="00DF0743"/>
    <w:rsid w:val="00DF12F3"/>
    <w:rsid w:val="00DF21AD"/>
    <w:rsid w:val="00DF2403"/>
    <w:rsid w:val="00DF32BF"/>
    <w:rsid w:val="00DF4080"/>
    <w:rsid w:val="00DF6A7B"/>
    <w:rsid w:val="00E008F3"/>
    <w:rsid w:val="00E0123C"/>
    <w:rsid w:val="00E042BB"/>
    <w:rsid w:val="00E04F1E"/>
    <w:rsid w:val="00E072F3"/>
    <w:rsid w:val="00E12200"/>
    <w:rsid w:val="00E126F2"/>
    <w:rsid w:val="00E14D68"/>
    <w:rsid w:val="00E15499"/>
    <w:rsid w:val="00E1698D"/>
    <w:rsid w:val="00E16A1E"/>
    <w:rsid w:val="00E216FD"/>
    <w:rsid w:val="00E25ED3"/>
    <w:rsid w:val="00E327E7"/>
    <w:rsid w:val="00E32891"/>
    <w:rsid w:val="00E33DA3"/>
    <w:rsid w:val="00E34521"/>
    <w:rsid w:val="00E374CA"/>
    <w:rsid w:val="00E37F68"/>
    <w:rsid w:val="00E40423"/>
    <w:rsid w:val="00E41656"/>
    <w:rsid w:val="00E43AFB"/>
    <w:rsid w:val="00E43EC8"/>
    <w:rsid w:val="00E442D3"/>
    <w:rsid w:val="00E504F7"/>
    <w:rsid w:val="00E55E7C"/>
    <w:rsid w:val="00E55ECE"/>
    <w:rsid w:val="00E56636"/>
    <w:rsid w:val="00E60D1C"/>
    <w:rsid w:val="00E6103B"/>
    <w:rsid w:val="00E61A9D"/>
    <w:rsid w:val="00E61B48"/>
    <w:rsid w:val="00E62AE4"/>
    <w:rsid w:val="00E630EB"/>
    <w:rsid w:val="00E63D80"/>
    <w:rsid w:val="00E63E90"/>
    <w:rsid w:val="00E64F9B"/>
    <w:rsid w:val="00E67458"/>
    <w:rsid w:val="00E67D38"/>
    <w:rsid w:val="00E71585"/>
    <w:rsid w:val="00E74481"/>
    <w:rsid w:val="00E747B5"/>
    <w:rsid w:val="00E75971"/>
    <w:rsid w:val="00E762A6"/>
    <w:rsid w:val="00E80CC7"/>
    <w:rsid w:val="00E82BDE"/>
    <w:rsid w:val="00E841E3"/>
    <w:rsid w:val="00E84836"/>
    <w:rsid w:val="00E86319"/>
    <w:rsid w:val="00E86700"/>
    <w:rsid w:val="00E86A60"/>
    <w:rsid w:val="00E87D08"/>
    <w:rsid w:val="00E87E6C"/>
    <w:rsid w:val="00E94F7F"/>
    <w:rsid w:val="00EA253A"/>
    <w:rsid w:val="00EA2D64"/>
    <w:rsid w:val="00EA332B"/>
    <w:rsid w:val="00EA495C"/>
    <w:rsid w:val="00EA5E7E"/>
    <w:rsid w:val="00EA6A2C"/>
    <w:rsid w:val="00EB0E96"/>
    <w:rsid w:val="00EB0F2F"/>
    <w:rsid w:val="00EB1144"/>
    <w:rsid w:val="00EB2D41"/>
    <w:rsid w:val="00EB47DB"/>
    <w:rsid w:val="00EB5A03"/>
    <w:rsid w:val="00EB6D4B"/>
    <w:rsid w:val="00EC0082"/>
    <w:rsid w:val="00EC0151"/>
    <w:rsid w:val="00EC04C9"/>
    <w:rsid w:val="00EC0E3D"/>
    <w:rsid w:val="00EC4281"/>
    <w:rsid w:val="00EC4700"/>
    <w:rsid w:val="00EC4B67"/>
    <w:rsid w:val="00ED0BF7"/>
    <w:rsid w:val="00ED1BD5"/>
    <w:rsid w:val="00ED1CEE"/>
    <w:rsid w:val="00ED3D54"/>
    <w:rsid w:val="00ED5B46"/>
    <w:rsid w:val="00ED73D3"/>
    <w:rsid w:val="00EE0886"/>
    <w:rsid w:val="00EE3D8B"/>
    <w:rsid w:val="00EE6466"/>
    <w:rsid w:val="00EE69C2"/>
    <w:rsid w:val="00EF2669"/>
    <w:rsid w:val="00EF72F3"/>
    <w:rsid w:val="00F0044E"/>
    <w:rsid w:val="00F017E5"/>
    <w:rsid w:val="00F01C8E"/>
    <w:rsid w:val="00F01D12"/>
    <w:rsid w:val="00F04FEE"/>
    <w:rsid w:val="00F05B75"/>
    <w:rsid w:val="00F121B2"/>
    <w:rsid w:val="00F12A39"/>
    <w:rsid w:val="00F12F59"/>
    <w:rsid w:val="00F12F66"/>
    <w:rsid w:val="00F13C35"/>
    <w:rsid w:val="00F179C0"/>
    <w:rsid w:val="00F17FBD"/>
    <w:rsid w:val="00F21E22"/>
    <w:rsid w:val="00F22F1C"/>
    <w:rsid w:val="00F23FC5"/>
    <w:rsid w:val="00F25F4D"/>
    <w:rsid w:val="00F266B5"/>
    <w:rsid w:val="00F365AB"/>
    <w:rsid w:val="00F43DBC"/>
    <w:rsid w:val="00F440B5"/>
    <w:rsid w:val="00F473AA"/>
    <w:rsid w:val="00F501DE"/>
    <w:rsid w:val="00F50B72"/>
    <w:rsid w:val="00F51EA6"/>
    <w:rsid w:val="00F52D77"/>
    <w:rsid w:val="00F54D0E"/>
    <w:rsid w:val="00F57C10"/>
    <w:rsid w:val="00F62410"/>
    <w:rsid w:val="00F63C3A"/>
    <w:rsid w:val="00F65FE4"/>
    <w:rsid w:val="00F73BCC"/>
    <w:rsid w:val="00F74BD8"/>
    <w:rsid w:val="00F74D43"/>
    <w:rsid w:val="00F801AF"/>
    <w:rsid w:val="00F80A3B"/>
    <w:rsid w:val="00F8542B"/>
    <w:rsid w:val="00F858A2"/>
    <w:rsid w:val="00F862DA"/>
    <w:rsid w:val="00F87F14"/>
    <w:rsid w:val="00F90730"/>
    <w:rsid w:val="00F923A8"/>
    <w:rsid w:val="00F925C1"/>
    <w:rsid w:val="00F92D0D"/>
    <w:rsid w:val="00F95AB4"/>
    <w:rsid w:val="00F964E1"/>
    <w:rsid w:val="00F966FC"/>
    <w:rsid w:val="00FA1568"/>
    <w:rsid w:val="00FA25F4"/>
    <w:rsid w:val="00FA5253"/>
    <w:rsid w:val="00FB0F42"/>
    <w:rsid w:val="00FB141B"/>
    <w:rsid w:val="00FB511F"/>
    <w:rsid w:val="00FC1BEB"/>
    <w:rsid w:val="00FC2E8F"/>
    <w:rsid w:val="00FC4572"/>
    <w:rsid w:val="00FC4E35"/>
    <w:rsid w:val="00FD0089"/>
    <w:rsid w:val="00FD1F98"/>
    <w:rsid w:val="00FD20DF"/>
    <w:rsid w:val="00FD2CE2"/>
    <w:rsid w:val="00FD4EBA"/>
    <w:rsid w:val="00FD7C71"/>
    <w:rsid w:val="00FE0916"/>
    <w:rsid w:val="00FE2F53"/>
    <w:rsid w:val="00FE2F98"/>
    <w:rsid w:val="00FF0CF5"/>
    <w:rsid w:val="00FF1EDA"/>
    <w:rsid w:val="00FF340D"/>
    <w:rsid w:val="00FF3A30"/>
    <w:rsid w:val="00FF453A"/>
    <w:rsid w:val="00FF65A5"/>
    <w:rsid w:val="00FF74CF"/>
    <w:rsid w:val="00FF75E9"/>
    <w:rsid w:val="17DF9378"/>
    <w:rsid w:val="5CE0F405"/>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DCDB42"/>
  <w15:chartTrackingRefBased/>
  <w15:docId w15:val="{ADD72DD9-3725-40A8-8F88-BB4DC5AF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48D"/>
    <w:pPr>
      <w:spacing w:after="0" w:line="240" w:lineRule="auto"/>
      <w:jc w:val="both"/>
    </w:pPr>
    <w:rPr>
      <w:rFonts w:ascii="Times New Roman" w:eastAsia="Times New Roman" w:hAnsi="Times New Roman" w:cs="Times New Roman"/>
      <w:sz w:val="20"/>
      <w:lang w:val="en-CA"/>
    </w:rPr>
  </w:style>
  <w:style w:type="paragraph" w:styleId="Heading1">
    <w:name w:val="heading 1"/>
    <w:basedOn w:val="Normal"/>
    <w:next w:val="Heading2"/>
    <w:link w:val="Heading1Char"/>
    <w:qFormat/>
    <w:rsid w:val="007C43C1"/>
    <w:pPr>
      <w:keepNext/>
      <w:keepLines/>
      <w:spacing w:after="240"/>
      <w:jc w:val="center"/>
      <w:outlineLvl w:val="0"/>
    </w:pPr>
    <w:rPr>
      <w:rFonts w:cs="Arial"/>
      <w:b/>
      <w:bCs/>
      <w:caps/>
    </w:rPr>
  </w:style>
  <w:style w:type="paragraph" w:styleId="Heading2">
    <w:name w:val="heading 2"/>
    <w:basedOn w:val="Normal"/>
    <w:next w:val="Normal"/>
    <w:link w:val="Heading2Char"/>
    <w:qFormat/>
    <w:rsid w:val="00C44197"/>
    <w:pPr>
      <w:outlineLvl w:val="1"/>
    </w:pPr>
    <w:rPr>
      <w:rFonts w:ascii="Arial" w:hAnsi="Arial" w:cs="Arial"/>
      <w:b/>
      <w:bCs/>
      <w:sz w:val="21"/>
      <w:szCs w:val="21"/>
    </w:rPr>
  </w:style>
  <w:style w:type="paragraph" w:styleId="Heading3">
    <w:name w:val="heading 3"/>
    <w:basedOn w:val="Normal"/>
    <w:next w:val="CoverHdg2"/>
    <w:link w:val="Heading3Char"/>
    <w:qFormat/>
    <w:rsid w:val="000A2343"/>
    <w:pPr>
      <w:pBdr>
        <w:bottom w:val="single" w:sz="4" w:space="1" w:color="auto"/>
      </w:pBdr>
      <w:outlineLvl w:val="2"/>
    </w:pPr>
    <w:rPr>
      <w:b/>
      <w:sz w:val="24"/>
      <w:szCs w:val="20"/>
    </w:rPr>
  </w:style>
  <w:style w:type="paragraph" w:styleId="Heading4">
    <w:name w:val="heading 4"/>
    <w:basedOn w:val="Normal"/>
    <w:next w:val="Normal"/>
    <w:link w:val="Heading4Char"/>
    <w:qFormat/>
    <w:rsid w:val="000A2343"/>
    <w:pPr>
      <w:keepNext/>
      <w:spacing w:before="240" w:after="60"/>
      <w:outlineLvl w:val="3"/>
    </w:pPr>
    <w:rPr>
      <w:b/>
      <w:bCs/>
      <w:sz w:val="28"/>
      <w:szCs w:val="28"/>
    </w:rPr>
  </w:style>
  <w:style w:type="paragraph" w:styleId="Heading5">
    <w:name w:val="heading 5"/>
    <w:basedOn w:val="Normal"/>
    <w:next w:val="Normal"/>
    <w:link w:val="Heading5Char"/>
    <w:qFormat/>
    <w:rsid w:val="000A2343"/>
    <w:pPr>
      <w:spacing w:before="240" w:after="60"/>
      <w:outlineLvl w:val="4"/>
    </w:pPr>
    <w:rPr>
      <w:b/>
      <w:bCs/>
      <w:i/>
      <w:iCs/>
      <w:sz w:val="26"/>
      <w:szCs w:val="26"/>
    </w:rPr>
  </w:style>
  <w:style w:type="paragraph" w:styleId="Heading6">
    <w:name w:val="heading 6"/>
    <w:basedOn w:val="Normal"/>
    <w:next w:val="Normal"/>
    <w:link w:val="Heading6Char"/>
    <w:uiPriority w:val="9"/>
    <w:qFormat/>
    <w:rsid w:val="000A2343"/>
    <w:pPr>
      <w:spacing w:before="240" w:after="60"/>
      <w:outlineLvl w:val="5"/>
    </w:pPr>
    <w:rPr>
      <w:b/>
      <w:bCs/>
    </w:rPr>
  </w:style>
  <w:style w:type="paragraph" w:styleId="Heading7">
    <w:name w:val="heading 7"/>
    <w:basedOn w:val="Normal"/>
    <w:next w:val="Normal"/>
    <w:link w:val="Heading7Char"/>
    <w:uiPriority w:val="1"/>
    <w:qFormat/>
    <w:rsid w:val="000A2343"/>
    <w:pPr>
      <w:spacing w:before="240" w:after="60"/>
      <w:outlineLvl w:val="6"/>
    </w:pPr>
    <w:rPr>
      <w:sz w:val="24"/>
      <w:szCs w:val="24"/>
    </w:rPr>
  </w:style>
  <w:style w:type="paragraph" w:styleId="Heading8">
    <w:name w:val="heading 8"/>
    <w:basedOn w:val="Normal"/>
    <w:next w:val="Normal"/>
    <w:link w:val="Heading8Char"/>
    <w:qFormat/>
    <w:rsid w:val="000A2343"/>
    <w:pPr>
      <w:spacing w:before="240" w:after="60"/>
      <w:outlineLvl w:val="7"/>
    </w:pPr>
    <w:rPr>
      <w:i/>
      <w:iCs/>
      <w:sz w:val="24"/>
      <w:szCs w:val="24"/>
    </w:rPr>
  </w:style>
  <w:style w:type="paragraph" w:styleId="Heading9">
    <w:name w:val="heading 9"/>
    <w:basedOn w:val="Normal"/>
    <w:next w:val="Normal"/>
    <w:link w:val="Heading9Char"/>
    <w:unhideWhenUsed/>
    <w:qFormat/>
    <w:rsid w:val="00E747B5"/>
    <w:pPr>
      <w:keepNext/>
      <w:numPr>
        <w:numId w:val="27"/>
      </w:numPr>
      <w:spacing w:after="240"/>
      <w:jc w:val="center"/>
      <w:outlineLvl w:val="8"/>
    </w:pPr>
    <w:rPr>
      <w:b/>
      <w:iCs/>
      <w:caps/>
      <w:sz w:val="22"/>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3C1"/>
    <w:rPr>
      <w:rFonts w:ascii="Times New Roman" w:eastAsia="Times New Roman" w:hAnsi="Times New Roman" w:cs="Arial"/>
      <w:b/>
      <w:bCs/>
      <w:caps/>
      <w:sz w:val="20"/>
      <w:lang w:val="en-CA"/>
    </w:rPr>
  </w:style>
  <w:style w:type="character" w:customStyle="1" w:styleId="Heading2Char">
    <w:name w:val="Heading 2 Char"/>
    <w:basedOn w:val="DefaultParagraphFont"/>
    <w:link w:val="Heading2"/>
    <w:uiPriority w:val="1"/>
    <w:rsid w:val="00C44197"/>
    <w:rPr>
      <w:rFonts w:ascii="Arial" w:eastAsia="Times New Roman" w:hAnsi="Arial" w:cs="Arial"/>
      <w:b/>
      <w:bCs/>
      <w:sz w:val="21"/>
      <w:szCs w:val="21"/>
      <w:lang w:val="en-CA"/>
    </w:rPr>
  </w:style>
  <w:style w:type="character" w:customStyle="1" w:styleId="Heading3Char">
    <w:name w:val="Heading 3 Char"/>
    <w:basedOn w:val="DefaultParagraphFont"/>
    <w:link w:val="Heading3"/>
    <w:uiPriority w:val="1"/>
    <w:rsid w:val="000A2343"/>
    <w:rPr>
      <w:rFonts w:ascii="Times New Roman" w:eastAsia="Times New Roman" w:hAnsi="Times New Roman" w:cs="Times New Roman"/>
      <w:b/>
      <w:sz w:val="24"/>
      <w:szCs w:val="20"/>
      <w:lang w:val="en-CA"/>
    </w:rPr>
  </w:style>
  <w:style w:type="character" w:customStyle="1" w:styleId="Heading4Char">
    <w:name w:val="Heading 4 Char"/>
    <w:basedOn w:val="DefaultParagraphFont"/>
    <w:link w:val="Heading4"/>
    <w:uiPriority w:val="1"/>
    <w:rsid w:val="000A2343"/>
    <w:rPr>
      <w:rFonts w:ascii="Times New Roman" w:eastAsia="Times New Roman" w:hAnsi="Times New Roman" w:cs="Times New Roman"/>
      <w:b/>
      <w:bCs/>
      <w:sz w:val="28"/>
      <w:szCs w:val="28"/>
      <w:lang w:val="en-CA"/>
    </w:rPr>
  </w:style>
  <w:style w:type="character" w:customStyle="1" w:styleId="Heading5Char">
    <w:name w:val="Heading 5 Char"/>
    <w:basedOn w:val="DefaultParagraphFont"/>
    <w:link w:val="Heading5"/>
    <w:uiPriority w:val="1"/>
    <w:rsid w:val="000A2343"/>
    <w:rPr>
      <w:rFonts w:ascii="Times New Roman" w:eastAsia="Times New Roman" w:hAnsi="Times New Roman" w:cs="Times New Roman"/>
      <w:b/>
      <w:bCs/>
      <w:i/>
      <w:iCs/>
      <w:sz w:val="26"/>
      <w:szCs w:val="26"/>
      <w:lang w:val="en-CA"/>
    </w:rPr>
  </w:style>
  <w:style w:type="character" w:customStyle="1" w:styleId="Heading6Char">
    <w:name w:val="Heading 6 Char"/>
    <w:basedOn w:val="DefaultParagraphFont"/>
    <w:link w:val="Heading6"/>
    <w:uiPriority w:val="1"/>
    <w:rsid w:val="000A2343"/>
    <w:rPr>
      <w:rFonts w:ascii="Times New Roman" w:eastAsia="Times New Roman" w:hAnsi="Times New Roman" w:cs="Times New Roman"/>
      <w:b/>
      <w:bCs/>
      <w:lang w:val="en-CA"/>
    </w:rPr>
  </w:style>
  <w:style w:type="character" w:customStyle="1" w:styleId="Heading7Char">
    <w:name w:val="Heading 7 Char"/>
    <w:basedOn w:val="DefaultParagraphFont"/>
    <w:link w:val="Heading7"/>
    <w:uiPriority w:val="1"/>
    <w:rsid w:val="000A2343"/>
    <w:rPr>
      <w:rFonts w:ascii="Times New Roman" w:eastAsia="Times New Roman" w:hAnsi="Times New Roman" w:cs="Times New Roman"/>
      <w:sz w:val="24"/>
      <w:szCs w:val="24"/>
      <w:lang w:val="en-CA"/>
    </w:rPr>
  </w:style>
  <w:style w:type="character" w:customStyle="1" w:styleId="Heading8Char">
    <w:name w:val="Heading 8 Char"/>
    <w:basedOn w:val="DefaultParagraphFont"/>
    <w:link w:val="Heading8"/>
    <w:rsid w:val="000A2343"/>
    <w:rPr>
      <w:rFonts w:ascii="Times New Roman" w:eastAsia="Times New Roman" w:hAnsi="Times New Roman" w:cs="Times New Roman"/>
      <w:i/>
      <w:iCs/>
      <w:sz w:val="24"/>
      <w:szCs w:val="24"/>
      <w:lang w:val="en-CA"/>
    </w:rPr>
  </w:style>
  <w:style w:type="character" w:customStyle="1" w:styleId="Heading9Char">
    <w:name w:val="Heading 9 Char"/>
    <w:basedOn w:val="DefaultParagraphFont"/>
    <w:link w:val="Heading9"/>
    <w:rsid w:val="00E747B5"/>
    <w:rPr>
      <w:rFonts w:ascii="Times New Roman" w:eastAsia="Times New Roman" w:hAnsi="Times New Roman" w:cs="Times New Roman"/>
      <w:b/>
      <w:iCs/>
      <w:caps/>
      <w:szCs w:val="21"/>
    </w:rPr>
  </w:style>
  <w:style w:type="paragraph" w:customStyle="1" w:styleId="CoverHdg2">
    <w:name w:val="Cover Hdg 2"/>
    <w:basedOn w:val="Heading2"/>
    <w:rsid w:val="000A2343"/>
    <w:rPr>
      <w:rFonts w:ascii="Times New Roman" w:hAnsi="Times New Roman" w:cs="Times New Roman"/>
      <w:b w:val="0"/>
      <w:bCs w:val="0"/>
      <w:i/>
      <w:iCs/>
      <w:szCs w:val="20"/>
    </w:rPr>
  </w:style>
  <w:style w:type="paragraph" w:styleId="Header">
    <w:name w:val="header"/>
    <w:basedOn w:val="Normal"/>
    <w:link w:val="HeaderChar"/>
    <w:uiPriority w:val="99"/>
    <w:rsid w:val="000A2343"/>
    <w:pPr>
      <w:tabs>
        <w:tab w:val="center" w:pos="4565"/>
        <w:tab w:val="right" w:pos="9130"/>
      </w:tabs>
    </w:pPr>
    <w:rPr>
      <w:b/>
      <w:sz w:val="18"/>
      <w:szCs w:val="20"/>
    </w:rPr>
  </w:style>
  <w:style w:type="character" w:customStyle="1" w:styleId="HeaderChar">
    <w:name w:val="Header Char"/>
    <w:basedOn w:val="DefaultParagraphFont"/>
    <w:link w:val="Header"/>
    <w:uiPriority w:val="99"/>
    <w:rsid w:val="000A2343"/>
    <w:rPr>
      <w:rFonts w:ascii="Times New Roman" w:eastAsia="Times New Roman" w:hAnsi="Times New Roman" w:cs="Times New Roman"/>
      <w:b/>
      <w:sz w:val="18"/>
      <w:szCs w:val="20"/>
      <w:lang w:val="en-CA"/>
    </w:rPr>
  </w:style>
  <w:style w:type="character" w:styleId="PageNumber">
    <w:name w:val="page number"/>
    <w:rsid w:val="000A2343"/>
    <w:rPr>
      <w:rFonts w:ascii="Times New Roman" w:hAnsi="Times New Roman"/>
      <w:noProof/>
      <w:sz w:val="22"/>
      <w:lang w:val="en-CA"/>
    </w:rPr>
  </w:style>
  <w:style w:type="character" w:customStyle="1" w:styleId="CharBold">
    <w:name w:val="Char. Bold"/>
    <w:rsid w:val="000A2343"/>
    <w:rPr>
      <w:rFonts w:ascii="Times New Roman" w:hAnsi="Times New Roman"/>
      <w:b/>
      <w:sz w:val="24"/>
    </w:rPr>
  </w:style>
  <w:style w:type="paragraph" w:styleId="Footer">
    <w:name w:val="footer"/>
    <w:basedOn w:val="Normal"/>
    <w:link w:val="FooterChar"/>
    <w:uiPriority w:val="99"/>
    <w:rsid w:val="000A2343"/>
    <w:pPr>
      <w:tabs>
        <w:tab w:val="center" w:pos="4680"/>
        <w:tab w:val="right" w:pos="9360"/>
      </w:tabs>
    </w:pPr>
    <w:rPr>
      <w:szCs w:val="20"/>
    </w:rPr>
  </w:style>
  <w:style w:type="character" w:customStyle="1" w:styleId="FooterChar">
    <w:name w:val="Footer Char"/>
    <w:basedOn w:val="DefaultParagraphFont"/>
    <w:link w:val="Footer"/>
    <w:uiPriority w:val="99"/>
    <w:rsid w:val="000A2343"/>
    <w:rPr>
      <w:rFonts w:ascii="Times New Roman" w:eastAsia="Times New Roman" w:hAnsi="Times New Roman" w:cs="Times New Roman"/>
      <w:szCs w:val="20"/>
      <w:lang w:val="en-CA"/>
    </w:rPr>
  </w:style>
  <w:style w:type="paragraph" w:customStyle="1" w:styleId="Indent1">
    <w:name w:val="Indent 1"/>
    <w:basedOn w:val="Normal"/>
    <w:link w:val="Indent1Char"/>
    <w:rsid w:val="000A2343"/>
    <w:pPr>
      <w:spacing w:after="260" w:line="260" w:lineRule="atLeast"/>
      <w:ind w:left="431"/>
    </w:pPr>
  </w:style>
  <w:style w:type="character" w:customStyle="1" w:styleId="Indent1Char">
    <w:name w:val="Indent 1 Char"/>
    <w:basedOn w:val="DefaultParagraphFont"/>
    <w:link w:val="Indent1"/>
    <w:locked/>
    <w:rsid w:val="000A2343"/>
    <w:rPr>
      <w:rFonts w:ascii="Times New Roman" w:eastAsia="Times New Roman" w:hAnsi="Times New Roman" w:cs="Times New Roman"/>
      <w:lang w:val="en-CA"/>
    </w:rPr>
  </w:style>
  <w:style w:type="paragraph" w:customStyle="1" w:styleId="TableFigures">
    <w:name w:val="Table Figures"/>
    <w:basedOn w:val="Normal"/>
    <w:rsid w:val="000A2343"/>
    <w:pPr>
      <w:tabs>
        <w:tab w:val="decimal" w:pos="1296"/>
      </w:tabs>
    </w:pPr>
  </w:style>
  <w:style w:type="paragraph" w:customStyle="1" w:styleId="TableText">
    <w:name w:val="Table Text"/>
    <w:basedOn w:val="Normal"/>
    <w:link w:val="TableTextChar"/>
    <w:uiPriority w:val="1"/>
    <w:qFormat/>
    <w:rsid w:val="000A2343"/>
    <w:pPr>
      <w:ind w:left="432" w:hanging="432"/>
    </w:pPr>
  </w:style>
  <w:style w:type="paragraph" w:customStyle="1" w:styleId="corpsnotes">
    <w:name w:val="corpsnotes"/>
    <w:basedOn w:val="Normal"/>
    <w:uiPriority w:val="99"/>
    <w:rsid w:val="000A2343"/>
    <w:pPr>
      <w:tabs>
        <w:tab w:val="left" w:pos="-504"/>
      </w:tabs>
      <w:spacing w:after="240" w:line="288" w:lineRule="auto"/>
    </w:pPr>
    <w:rPr>
      <w:rFonts w:ascii="Arial" w:eastAsia="SimSun" w:hAnsi="Arial"/>
      <w:szCs w:val="20"/>
      <w:lang w:val="fr-CA"/>
    </w:rPr>
  </w:style>
  <w:style w:type="paragraph" w:styleId="BodyText">
    <w:name w:val="Body Text"/>
    <w:basedOn w:val="Normal"/>
    <w:link w:val="BodyTextChar"/>
    <w:uiPriority w:val="1"/>
    <w:qFormat/>
    <w:rsid w:val="00E042BB"/>
    <w:pPr>
      <w:spacing w:after="240"/>
    </w:pPr>
    <w:rPr>
      <w:szCs w:val="20"/>
      <w:lang w:val="fr-CA" w:eastAsia="fr-FR"/>
    </w:rPr>
  </w:style>
  <w:style w:type="character" w:customStyle="1" w:styleId="BodyTextChar">
    <w:name w:val="Body Text Char"/>
    <w:basedOn w:val="DefaultParagraphFont"/>
    <w:link w:val="BodyText"/>
    <w:uiPriority w:val="1"/>
    <w:rsid w:val="00E042BB"/>
    <w:rPr>
      <w:rFonts w:ascii="Times New Roman" w:eastAsia="Times New Roman" w:hAnsi="Times New Roman" w:cs="Times New Roman"/>
      <w:sz w:val="20"/>
      <w:szCs w:val="20"/>
      <w:lang w:val="fr-CA" w:eastAsia="fr-FR"/>
    </w:rPr>
  </w:style>
  <w:style w:type="paragraph" w:customStyle="1" w:styleId="Texte">
    <w:name w:val="Texte"/>
    <w:uiPriority w:val="99"/>
    <w:rsid w:val="000A2343"/>
    <w:pPr>
      <w:spacing w:after="0" w:line="360" w:lineRule="exact"/>
      <w:jc w:val="both"/>
    </w:pPr>
    <w:rPr>
      <w:rFonts w:ascii="Times New Roman" w:eastAsia="Helvetica" w:hAnsi="Times New Roman" w:cs="Times New Roman"/>
      <w:color w:val="000000"/>
      <w:sz w:val="24"/>
      <w:szCs w:val="20"/>
      <w:u w:color="000000"/>
      <w:lang w:val="fr-FR" w:eastAsia="fr-FR"/>
    </w:rPr>
  </w:style>
  <w:style w:type="paragraph" w:styleId="BodyText2">
    <w:name w:val="Body Text 2"/>
    <w:basedOn w:val="Normal"/>
    <w:link w:val="BodyText2Char"/>
    <w:uiPriority w:val="99"/>
    <w:rsid w:val="000A2343"/>
    <w:pPr>
      <w:tabs>
        <w:tab w:val="left" w:pos="-504"/>
        <w:tab w:val="left" w:pos="0"/>
        <w:tab w:val="left" w:pos="720"/>
        <w:tab w:val="left" w:pos="1440"/>
        <w:tab w:val="left" w:pos="2160"/>
        <w:tab w:val="left" w:pos="2880"/>
      </w:tabs>
      <w:spacing w:after="120" w:line="480" w:lineRule="auto"/>
    </w:pPr>
    <w:rPr>
      <w:rFonts w:ascii="Arial" w:hAnsi="Arial"/>
      <w:szCs w:val="20"/>
      <w:lang w:val="fr-CA" w:eastAsia="fr-FR"/>
    </w:rPr>
  </w:style>
  <w:style w:type="character" w:customStyle="1" w:styleId="BodyText2Char">
    <w:name w:val="Body Text 2 Char"/>
    <w:basedOn w:val="DefaultParagraphFont"/>
    <w:link w:val="BodyText2"/>
    <w:uiPriority w:val="99"/>
    <w:rsid w:val="000A2343"/>
    <w:rPr>
      <w:rFonts w:ascii="Arial" w:eastAsia="Times New Roman" w:hAnsi="Arial" w:cs="Times New Roman"/>
      <w:sz w:val="20"/>
      <w:szCs w:val="20"/>
      <w:lang w:val="fr-CA" w:eastAsia="fr-FR"/>
    </w:rPr>
  </w:style>
  <w:style w:type="paragraph" w:styleId="BalloonText">
    <w:name w:val="Balloon Text"/>
    <w:basedOn w:val="Normal"/>
    <w:link w:val="BalloonTextChar"/>
    <w:uiPriority w:val="99"/>
    <w:semiHidden/>
    <w:rsid w:val="000A2343"/>
    <w:rPr>
      <w:rFonts w:ascii="Tahoma" w:hAnsi="Tahoma" w:cs="Tahoma"/>
      <w:sz w:val="16"/>
      <w:szCs w:val="16"/>
    </w:rPr>
  </w:style>
  <w:style w:type="character" w:customStyle="1" w:styleId="BalloonTextChar">
    <w:name w:val="Balloon Text Char"/>
    <w:basedOn w:val="DefaultParagraphFont"/>
    <w:link w:val="BalloonText"/>
    <w:uiPriority w:val="99"/>
    <w:semiHidden/>
    <w:rsid w:val="000A2343"/>
    <w:rPr>
      <w:rFonts w:ascii="Tahoma" w:eastAsia="Times New Roman" w:hAnsi="Tahoma" w:cs="Tahoma"/>
      <w:sz w:val="16"/>
      <w:szCs w:val="16"/>
      <w:lang w:val="en-CA"/>
    </w:rPr>
  </w:style>
  <w:style w:type="paragraph" w:customStyle="1" w:styleId="Paragraphedeliste1">
    <w:name w:val="Paragraphe de liste1"/>
    <w:basedOn w:val="Normal"/>
    <w:uiPriority w:val="99"/>
    <w:qFormat/>
    <w:rsid w:val="000A2343"/>
    <w:pPr>
      <w:spacing w:after="200" w:line="276" w:lineRule="auto"/>
      <w:ind w:left="720"/>
      <w:contextualSpacing/>
    </w:pPr>
    <w:rPr>
      <w:rFonts w:ascii="Calibri" w:eastAsia="Calibri" w:hAnsi="Calibri"/>
      <w:lang w:val="fr-FR"/>
    </w:rPr>
  </w:style>
  <w:style w:type="table" w:styleId="TableGrid">
    <w:name w:val="Table Grid"/>
    <w:basedOn w:val="TableNormal"/>
    <w:rsid w:val="000A2343"/>
    <w:pPr>
      <w:spacing w:after="0" w:line="240" w:lineRule="auto"/>
    </w:pPr>
    <w:rPr>
      <w:rFonts w:ascii="Times New Roman" w:eastAsia="Times New Roman" w:hAnsi="Times New Roman" w:cs="Times New Roman"/>
      <w:sz w:val="20"/>
      <w:szCs w:val="20"/>
      <w:lang w:val="fr-CA" w:eastAsia="fr-CA"/>
    </w:rPr>
    <w:tblPr/>
  </w:style>
  <w:style w:type="paragraph" w:customStyle="1" w:styleId="CoverHdg3">
    <w:name w:val="Cover Hdg 3"/>
    <w:basedOn w:val="Heading3"/>
    <w:next w:val="CoverHdg2"/>
    <w:rsid w:val="000A2343"/>
    <w:pPr>
      <w:pBdr>
        <w:bottom w:val="none" w:sz="0" w:space="0" w:color="auto"/>
      </w:pBdr>
    </w:pPr>
    <w:rPr>
      <w:sz w:val="28"/>
    </w:rPr>
  </w:style>
  <w:style w:type="paragraph" w:styleId="NormalWeb">
    <w:name w:val="Normal (Web)"/>
    <w:basedOn w:val="Normal"/>
    <w:uiPriority w:val="99"/>
    <w:rsid w:val="000A2343"/>
    <w:pPr>
      <w:spacing w:before="100" w:beforeAutospacing="1" w:after="100" w:afterAutospacing="1"/>
    </w:pPr>
    <w:rPr>
      <w:sz w:val="24"/>
      <w:szCs w:val="24"/>
      <w:lang w:val="fr-FR" w:eastAsia="fr-FR"/>
    </w:rPr>
  </w:style>
  <w:style w:type="character" w:styleId="Strong">
    <w:name w:val="Strong"/>
    <w:uiPriority w:val="22"/>
    <w:qFormat/>
    <w:rsid w:val="000A2343"/>
    <w:rPr>
      <w:b/>
      <w:bCs/>
    </w:rPr>
  </w:style>
  <w:style w:type="character" w:styleId="Hyperlink">
    <w:name w:val="Hyperlink"/>
    <w:uiPriority w:val="99"/>
    <w:rsid w:val="000A2343"/>
    <w:rPr>
      <w:color w:val="0000FF"/>
      <w:u w:val="single"/>
    </w:rPr>
  </w:style>
  <w:style w:type="paragraph" w:customStyle="1" w:styleId="NormalDroite">
    <w:name w:val="Normal + Droite"/>
    <w:aliases w:val="Droite :  0,13 cm"/>
    <w:basedOn w:val="Normal"/>
    <w:rsid w:val="000A2343"/>
    <w:pPr>
      <w:tabs>
        <w:tab w:val="left" w:pos="-504"/>
        <w:tab w:val="left" w:pos="0"/>
        <w:tab w:val="left" w:pos="720"/>
        <w:tab w:val="left" w:pos="1440"/>
        <w:tab w:val="left" w:pos="2160"/>
        <w:tab w:val="left" w:pos="2880"/>
      </w:tabs>
      <w:ind w:right="288"/>
      <w:jc w:val="right"/>
    </w:pPr>
    <w:rPr>
      <w:rFonts w:ascii="Arial" w:hAnsi="Arial" w:cs="Arial"/>
      <w:iCs/>
      <w:szCs w:val="20"/>
      <w:lang w:val="fr-CA" w:eastAsia="fr-FR"/>
    </w:rPr>
  </w:style>
  <w:style w:type="character" w:styleId="FollowedHyperlink">
    <w:name w:val="FollowedHyperlink"/>
    <w:uiPriority w:val="99"/>
    <w:rsid w:val="000A2343"/>
    <w:rPr>
      <w:color w:val="800080"/>
      <w:u w:val="single"/>
    </w:rPr>
  </w:style>
  <w:style w:type="paragraph" w:styleId="BodyTextIndent">
    <w:name w:val="Body Text Indent"/>
    <w:basedOn w:val="Normal"/>
    <w:link w:val="BodyTextIndentChar"/>
    <w:rsid w:val="000A2343"/>
    <w:pPr>
      <w:spacing w:after="120"/>
      <w:ind w:left="283"/>
    </w:pPr>
  </w:style>
  <w:style w:type="character" w:customStyle="1" w:styleId="BodyTextIndentChar">
    <w:name w:val="Body Text Indent Char"/>
    <w:basedOn w:val="DefaultParagraphFont"/>
    <w:link w:val="BodyTextIndent"/>
    <w:rsid w:val="000A2343"/>
    <w:rPr>
      <w:rFonts w:ascii="Times New Roman" w:eastAsia="Times New Roman" w:hAnsi="Times New Roman" w:cs="Times New Roman"/>
      <w:lang w:val="en-CA"/>
    </w:rPr>
  </w:style>
  <w:style w:type="paragraph" w:styleId="CommentText">
    <w:name w:val="annotation text"/>
    <w:basedOn w:val="Normal"/>
    <w:link w:val="CommentTextChar"/>
    <w:uiPriority w:val="99"/>
    <w:rsid w:val="000A2343"/>
    <w:pPr>
      <w:tabs>
        <w:tab w:val="left" w:pos="-504"/>
        <w:tab w:val="left" w:pos="0"/>
        <w:tab w:val="left" w:pos="720"/>
        <w:tab w:val="left" w:pos="1440"/>
        <w:tab w:val="left" w:pos="2160"/>
        <w:tab w:val="left" w:pos="2880"/>
      </w:tabs>
    </w:pPr>
    <w:rPr>
      <w:rFonts w:ascii="Arial" w:hAnsi="Arial" w:cs="Arial"/>
      <w:szCs w:val="20"/>
      <w:lang w:val="fr-CA" w:eastAsia="fr-FR"/>
    </w:rPr>
  </w:style>
  <w:style w:type="character" w:customStyle="1" w:styleId="CommentTextChar">
    <w:name w:val="Comment Text Char"/>
    <w:basedOn w:val="DefaultParagraphFont"/>
    <w:link w:val="CommentText"/>
    <w:uiPriority w:val="99"/>
    <w:rsid w:val="000A2343"/>
    <w:rPr>
      <w:rFonts w:ascii="Arial" w:eastAsia="Times New Roman" w:hAnsi="Arial" w:cs="Arial"/>
      <w:sz w:val="20"/>
      <w:szCs w:val="20"/>
      <w:lang w:val="fr-CA" w:eastAsia="fr-FR"/>
    </w:rPr>
  </w:style>
  <w:style w:type="paragraph" w:customStyle="1" w:styleId="Version">
    <w:name w:val="Version"/>
    <w:basedOn w:val="Normal"/>
    <w:rsid w:val="000A2343"/>
    <w:pPr>
      <w:jc w:val="right"/>
    </w:pPr>
    <w:rPr>
      <w:b/>
      <w:bCs/>
      <w:caps/>
      <w:sz w:val="36"/>
      <w:szCs w:val="36"/>
    </w:rPr>
  </w:style>
  <w:style w:type="paragraph" w:customStyle="1" w:styleId="Bullet1">
    <w:name w:val="Bullet 1"/>
    <w:basedOn w:val="Normal"/>
    <w:rsid w:val="000A2343"/>
    <w:pPr>
      <w:numPr>
        <w:numId w:val="1"/>
      </w:numPr>
      <w:spacing w:before="80" w:after="80" w:line="264" w:lineRule="auto"/>
    </w:pPr>
    <w:rPr>
      <w:rFonts w:ascii="Arial" w:eastAsia="MS Mincho" w:hAnsi="Arial"/>
      <w:sz w:val="18"/>
      <w:szCs w:val="20"/>
      <w:lang w:eastAsia="ja-JP"/>
    </w:rPr>
  </w:style>
  <w:style w:type="character" w:customStyle="1" w:styleId="CarCar6">
    <w:name w:val="Car Car6"/>
    <w:semiHidden/>
    <w:locked/>
    <w:rsid w:val="000A2343"/>
    <w:rPr>
      <w:sz w:val="22"/>
      <w:szCs w:val="22"/>
      <w:lang w:val="en-CA" w:eastAsia="x-none"/>
    </w:rPr>
  </w:style>
  <w:style w:type="character" w:customStyle="1" w:styleId="CarCar5">
    <w:name w:val="Car Car5"/>
    <w:semiHidden/>
    <w:locked/>
    <w:rsid w:val="000A2343"/>
    <w:rPr>
      <w:sz w:val="22"/>
      <w:szCs w:val="22"/>
      <w:lang w:val="en-CA" w:eastAsia="x-none"/>
    </w:rPr>
  </w:style>
  <w:style w:type="paragraph" w:customStyle="1" w:styleId="AddressBold">
    <w:name w:val="AddressBold"/>
    <w:basedOn w:val="Normal"/>
    <w:rsid w:val="000A2343"/>
    <w:pPr>
      <w:pBdr>
        <w:left w:val="single" w:sz="4" w:space="6" w:color="auto"/>
      </w:pBdr>
      <w:spacing w:line="200" w:lineRule="exact"/>
    </w:pPr>
    <w:rPr>
      <w:b/>
      <w:sz w:val="16"/>
    </w:rPr>
  </w:style>
  <w:style w:type="paragraph" w:styleId="BodyTextIndent2">
    <w:name w:val="Body Text Indent 2"/>
    <w:basedOn w:val="Normal"/>
    <w:link w:val="BodyTextIndent2Char"/>
    <w:rsid w:val="000A2343"/>
    <w:pPr>
      <w:spacing w:after="120" w:line="480" w:lineRule="auto"/>
      <w:ind w:left="283"/>
    </w:pPr>
  </w:style>
  <w:style w:type="character" w:customStyle="1" w:styleId="BodyTextIndent2Char">
    <w:name w:val="Body Text Indent 2 Char"/>
    <w:basedOn w:val="DefaultParagraphFont"/>
    <w:link w:val="BodyTextIndent2"/>
    <w:rsid w:val="000A2343"/>
    <w:rPr>
      <w:rFonts w:ascii="Times New Roman" w:eastAsia="Times New Roman" w:hAnsi="Times New Roman" w:cs="Times New Roman"/>
      <w:lang w:val="en-CA"/>
    </w:rPr>
  </w:style>
  <w:style w:type="paragraph" w:customStyle="1" w:styleId="White">
    <w:name w:val="White"/>
    <w:basedOn w:val="Normal"/>
    <w:next w:val="Normal"/>
    <w:rsid w:val="000A2343"/>
    <w:pPr>
      <w:spacing w:line="200" w:lineRule="exact"/>
    </w:pPr>
    <w:rPr>
      <w:color w:val="FFFFFF"/>
      <w:sz w:val="16"/>
      <w:szCs w:val="20"/>
    </w:rPr>
  </w:style>
  <w:style w:type="character" w:customStyle="1" w:styleId="CarCar8">
    <w:name w:val="Car Car8"/>
    <w:semiHidden/>
    <w:locked/>
    <w:rsid w:val="000A2343"/>
    <w:rPr>
      <w:rFonts w:ascii="Cambria" w:hAnsi="Cambria" w:cs="Cambria"/>
      <w:b/>
      <w:bCs/>
      <w:i/>
      <w:iCs/>
      <w:sz w:val="28"/>
      <w:szCs w:val="28"/>
      <w:lang w:val="en-CA" w:eastAsia="x-none"/>
    </w:rPr>
  </w:style>
  <w:style w:type="paragraph" w:customStyle="1" w:styleId="Default">
    <w:name w:val="Default"/>
    <w:rsid w:val="000A2343"/>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styleId="ListParagraph">
    <w:name w:val="List Paragraph"/>
    <w:basedOn w:val="Normal"/>
    <w:link w:val="ListParagraphChar"/>
    <w:uiPriority w:val="1"/>
    <w:qFormat/>
    <w:rsid w:val="000A2343"/>
    <w:pPr>
      <w:spacing w:after="200" w:line="276" w:lineRule="auto"/>
      <w:ind w:left="720"/>
      <w:contextualSpacing/>
    </w:pPr>
    <w:rPr>
      <w:rFonts w:ascii="Calibri" w:hAnsi="Calibri"/>
    </w:rPr>
  </w:style>
  <w:style w:type="paragraph" w:styleId="TOC1">
    <w:name w:val="toc 1"/>
    <w:basedOn w:val="Normal"/>
    <w:next w:val="Normal"/>
    <w:autoRedefine/>
    <w:uiPriority w:val="39"/>
    <w:rsid w:val="00573924"/>
    <w:pPr>
      <w:tabs>
        <w:tab w:val="left" w:pos="90"/>
        <w:tab w:val="right" w:leader="dot" w:pos="9350"/>
      </w:tabs>
      <w:spacing w:after="120"/>
    </w:pPr>
    <w:rPr>
      <w:rFonts w:cs="Arial"/>
      <w:iCs/>
      <w:noProof/>
      <w:szCs w:val="20"/>
      <w:lang w:val="fr-CA" w:eastAsia="fr-FR"/>
    </w:rPr>
  </w:style>
  <w:style w:type="character" w:customStyle="1" w:styleId="CorpsdetexteCar1">
    <w:name w:val="Corps de texte Car1"/>
    <w:rsid w:val="000A2343"/>
    <w:rPr>
      <w:rFonts w:ascii="Arial" w:hAnsi="Arial"/>
      <w:lang w:eastAsia="fr-FR"/>
    </w:rPr>
  </w:style>
  <w:style w:type="character" w:styleId="CommentReference">
    <w:name w:val="annotation reference"/>
    <w:uiPriority w:val="99"/>
    <w:unhideWhenUsed/>
    <w:rsid w:val="000A2343"/>
    <w:rPr>
      <w:sz w:val="16"/>
      <w:szCs w:val="16"/>
    </w:rPr>
  </w:style>
  <w:style w:type="paragraph" w:customStyle="1" w:styleId="Disclaimer">
    <w:name w:val="Disclaimer"/>
    <w:basedOn w:val="Normal"/>
    <w:uiPriority w:val="99"/>
    <w:rsid w:val="000A2343"/>
    <w:pPr>
      <w:spacing w:line="200" w:lineRule="exact"/>
    </w:pPr>
    <w:rPr>
      <w:sz w:val="16"/>
      <w:szCs w:val="16"/>
    </w:rPr>
  </w:style>
  <w:style w:type="paragraph" w:customStyle="1" w:styleId="WhiteBold">
    <w:name w:val="WhiteBold"/>
    <w:basedOn w:val="Normal"/>
    <w:rsid w:val="000A2343"/>
    <w:pPr>
      <w:spacing w:line="200" w:lineRule="exact"/>
    </w:pPr>
    <w:rPr>
      <w:b/>
      <w:color w:val="FFFFFF"/>
      <w:sz w:val="16"/>
      <w:szCs w:val="20"/>
    </w:rPr>
  </w:style>
  <w:style w:type="paragraph" w:customStyle="1" w:styleId="TableHeading">
    <w:name w:val="Table Heading"/>
    <w:basedOn w:val="Normal"/>
    <w:link w:val="TableHeadingChar"/>
    <w:uiPriority w:val="1"/>
    <w:qFormat/>
    <w:rsid w:val="000A2343"/>
    <w:pPr>
      <w:ind w:right="144"/>
      <w:jc w:val="right"/>
    </w:pPr>
    <w:rPr>
      <w:b/>
      <w:szCs w:val="20"/>
    </w:rPr>
  </w:style>
  <w:style w:type="paragraph" w:customStyle="1" w:styleId="Bullet2">
    <w:name w:val="Bullet 2"/>
    <w:basedOn w:val="Bullet1"/>
    <w:rsid w:val="000A2343"/>
    <w:pPr>
      <w:numPr>
        <w:numId w:val="0"/>
      </w:numPr>
      <w:tabs>
        <w:tab w:val="num" w:pos="862"/>
      </w:tabs>
      <w:spacing w:before="0" w:after="260" w:line="260" w:lineRule="atLeast"/>
      <w:ind w:left="864" w:hanging="432"/>
    </w:pPr>
    <w:rPr>
      <w:rFonts w:ascii="Times New Roman" w:eastAsia="Times New Roman" w:hAnsi="Times New Roman"/>
      <w:sz w:val="22"/>
      <w:lang w:eastAsia="en-US"/>
    </w:rPr>
  </w:style>
  <w:style w:type="paragraph" w:customStyle="1" w:styleId="Bullet3">
    <w:name w:val="Bullet 3"/>
    <w:basedOn w:val="Bullet2"/>
    <w:rsid w:val="000A2343"/>
    <w:pPr>
      <w:tabs>
        <w:tab w:val="clear" w:pos="862"/>
        <w:tab w:val="num" w:pos="1298"/>
      </w:tabs>
      <w:ind w:left="1296"/>
    </w:pPr>
  </w:style>
  <w:style w:type="paragraph" w:customStyle="1" w:styleId="Bullet4">
    <w:name w:val="Bullet 4"/>
    <w:basedOn w:val="Bullet3"/>
    <w:rsid w:val="000A2343"/>
    <w:pPr>
      <w:tabs>
        <w:tab w:val="clear" w:pos="1298"/>
        <w:tab w:val="num" w:pos="1729"/>
      </w:tabs>
      <w:ind w:left="1728"/>
    </w:pPr>
  </w:style>
  <w:style w:type="character" w:customStyle="1" w:styleId="CorpsdetexteCar">
    <w:name w:val="Corps de texte Car"/>
    <w:rsid w:val="000A2343"/>
    <w:rPr>
      <w:rFonts w:ascii="Arial" w:hAnsi="Arial" w:cs="Arial"/>
      <w:color w:val="000000"/>
      <w:sz w:val="22"/>
      <w:szCs w:val="22"/>
      <w:lang w:val="en-US" w:eastAsia="fr-FR" w:bidi="ar-SA"/>
    </w:rPr>
  </w:style>
  <w:style w:type="paragraph" w:styleId="BlockText">
    <w:name w:val="Block Text"/>
    <w:basedOn w:val="Normal"/>
    <w:rsid w:val="000A2343"/>
    <w:pPr>
      <w:ind w:left="-360" w:right="-360"/>
    </w:pPr>
    <w:rPr>
      <w:rFonts w:ascii="Arial" w:hAnsi="Arial" w:cs="Arial"/>
      <w:bCs/>
      <w:iCs/>
      <w:szCs w:val="28"/>
      <w:lang w:val="fr-CA" w:eastAsia="fr-FR"/>
    </w:rPr>
  </w:style>
  <w:style w:type="paragraph" w:customStyle="1" w:styleId="Chapeau">
    <w:name w:val="Chapeau"/>
    <w:next w:val="Texte"/>
    <w:rsid w:val="000A2343"/>
    <w:pPr>
      <w:keepNext/>
      <w:spacing w:before="240" w:after="0" w:line="240" w:lineRule="auto"/>
    </w:pPr>
    <w:rPr>
      <w:rFonts w:ascii="Helvetica" w:eastAsia="Helvetica" w:hAnsi="Helvetica" w:cs="Times New Roman"/>
      <w:b/>
      <w:color w:val="000000"/>
      <w:sz w:val="36"/>
      <w:szCs w:val="20"/>
      <w:u w:color="000000"/>
      <w:lang w:val="fr-FR" w:eastAsia="fr-FR"/>
    </w:rPr>
  </w:style>
  <w:style w:type="paragraph" w:styleId="BodyText3">
    <w:name w:val="Body Text 3"/>
    <w:basedOn w:val="Normal"/>
    <w:link w:val="BodyText3Char"/>
    <w:rsid w:val="000A2343"/>
    <w:pPr>
      <w:suppressAutoHyphens/>
      <w:ind w:right="-334"/>
    </w:pPr>
    <w:rPr>
      <w:rFonts w:ascii="Arial" w:hAnsi="Arial" w:cs="Arial"/>
      <w:iCs/>
      <w:szCs w:val="20"/>
      <w:lang w:val="fr-CA" w:eastAsia="fr-FR"/>
    </w:rPr>
  </w:style>
  <w:style w:type="character" w:customStyle="1" w:styleId="BodyText3Char">
    <w:name w:val="Body Text 3 Char"/>
    <w:basedOn w:val="DefaultParagraphFont"/>
    <w:link w:val="BodyText3"/>
    <w:rsid w:val="000A2343"/>
    <w:rPr>
      <w:rFonts w:ascii="Arial" w:eastAsia="Times New Roman" w:hAnsi="Arial" w:cs="Arial"/>
      <w:iCs/>
      <w:sz w:val="20"/>
      <w:szCs w:val="20"/>
      <w:lang w:val="fr-CA" w:eastAsia="fr-FR"/>
    </w:rPr>
  </w:style>
  <w:style w:type="paragraph" w:customStyle="1" w:styleId="CoverHdg1">
    <w:name w:val="Cover Hdg 1"/>
    <w:basedOn w:val="Heading1"/>
    <w:next w:val="Normal"/>
    <w:rsid w:val="000A2343"/>
    <w:rPr>
      <w:sz w:val="38"/>
    </w:rPr>
  </w:style>
  <w:style w:type="paragraph" w:customStyle="1" w:styleId="DefaultText">
    <w:name w:val="Default Text"/>
    <w:basedOn w:val="Normal"/>
    <w:rsid w:val="000A2343"/>
    <w:pPr>
      <w:overflowPunct w:val="0"/>
      <w:autoSpaceDE w:val="0"/>
      <w:autoSpaceDN w:val="0"/>
      <w:adjustRightInd w:val="0"/>
      <w:textAlignment w:val="baseline"/>
    </w:pPr>
    <w:rPr>
      <w:sz w:val="24"/>
      <w:szCs w:val="20"/>
      <w:lang w:val="en-US" w:eastAsia="fr-FR"/>
    </w:rPr>
  </w:style>
  <w:style w:type="paragraph" w:customStyle="1" w:styleId="BalloonText1">
    <w:name w:val="Balloon Text1"/>
    <w:basedOn w:val="Normal"/>
    <w:semiHidden/>
    <w:rsid w:val="000A2343"/>
    <w:pPr>
      <w:tabs>
        <w:tab w:val="left" w:pos="-504"/>
        <w:tab w:val="left" w:pos="0"/>
        <w:tab w:val="left" w:pos="720"/>
        <w:tab w:val="left" w:pos="1440"/>
        <w:tab w:val="left" w:pos="2160"/>
        <w:tab w:val="left" w:pos="2880"/>
      </w:tabs>
    </w:pPr>
    <w:rPr>
      <w:rFonts w:ascii="Tahoma" w:hAnsi="Tahoma" w:cs="Tahoma"/>
      <w:iCs/>
      <w:sz w:val="16"/>
      <w:szCs w:val="16"/>
      <w:lang w:val="fr-CA" w:eastAsia="fr-FR"/>
    </w:rPr>
  </w:style>
  <w:style w:type="paragraph" w:styleId="TOC2">
    <w:name w:val="toc 2"/>
    <w:basedOn w:val="Normal"/>
    <w:next w:val="Normal"/>
    <w:autoRedefine/>
    <w:rsid w:val="000A2343"/>
    <w:pPr>
      <w:ind w:left="200"/>
    </w:pPr>
    <w:rPr>
      <w:rFonts w:ascii="Arial" w:hAnsi="Arial" w:cs="Arial"/>
      <w:iCs/>
      <w:szCs w:val="20"/>
      <w:lang w:val="fr-CA" w:eastAsia="fr-FR"/>
    </w:rPr>
  </w:style>
  <w:style w:type="paragraph" w:customStyle="1" w:styleId="Indent2">
    <w:name w:val="Indent 2"/>
    <w:basedOn w:val="Indent1"/>
    <w:rsid w:val="000A2343"/>
    <w:pPr>
      <w:ind w:left="864"/>
    </w:pPr>
  </w:style>
  <w:style w:type="paragraph" w:styleId="CommentSubject">
    <w:name w:val="annotation subject"/>
    <w:basedOn w:val="CommentText"/>
    <w:next w:val="CommentText"/>
    <w:link w:val="CommentSubjectChar"/>
    <w:uiPriority w:val="99"/>
    <w:unhideWhenUsed/>
    <w:rsid w:val="000A2343"/>
    <w:pPr>
      <w:tabs>
        <w:tab w:val="clear" w:pos="-504"/>
        <w:tab w:val="clear" w:pos="0"/>
        <w:tab w:val="clear" w:pos="720"/>
        <w:tab w:val="clear" w:pos="1440"/>
        <w:tab w:val="clear" w:pos="2160"/>
        <w:tab w:val="clear" w:pos="2880"/>
      </w:tabs>
      <w:jc w:val="left"/>
    </w:pPr>
    <w:rPr>
      <w:rFonts w:ascii="Times New Roman" w:hAnsi="Times New Roman" w:cs="Times New Roman"/>
      <w:b/>
      <w:bCs/>
      <w:lang w:val="en-CA" w:eastAsia="en-US"/>
    </w:rPr>
  </w:style>
  <w:style w:type="character" w:customStyle="1" w:styleId="CommentSubjectChar">
    <w:name w:val="Comment Subject Char"/>
    <w:basedOn w:val="CommentTextChar"/>
    <w:link w:val="CommentSubject"/>
    <w:uiPriority w:val="99"/>
    <w:rsid w:val="000A2343"/>
    <w:rPr>
      <w:rFonts w:ascii="Times New Roman" w:eastAsia="Times New Roman" w:hAnsi="Times New Roman" w:cs="Times New Roman"/>
      <w:b/>
      <w:bCs/>
      <w:sz w:val="20"/>
      <w:szCs w:val="20"/>
      <w:lang w:val="en-CA" w:eastAsia="fr-FR"/>
    </w:rPr>
  </w:style>
  <w:style w:type="paragraph" w:styleId="Revision">
    <w:name w:val="Revision"/>
    <w:hidden/>
    <w:uiPriority w:val="99"/>
    <w:semiHidden/>
    <w:rsid w:val="000A2343"/>
    <w:pPr>
      <w:spacing w:after="0" w:line="240" w:lineRule="auto"/>
    </w:pPr>
    <w:rPr>
      <w:rFonts w:ascii="Times New Roman" w:eastAsia="Times New Roman" w:hAnsi="Times New Roman" w:cs="Times New Roman"/>
      <w:lang w:val="en-CA"/>
    </w:rPr>
  </w:style>
  <w:style w:type="paragraph" w:customStyle="1" w:styleId="yiv6711070131msolistparagraph">
    <w:name w:val="yiv6711070131msolistparagraph"/>
    <w:basedOn w:val="Normal"/>
    <w:rsid w:val="000A2343"/>
    <w:pPr>
      <w:spacing w:before="100" w:beforeAutospacing="1" w:after="100" w:afterAutospacing="1"/>
    </w:pPr>
    <w:rPr>
      <w:sz w:val="24"/>
      <w:szCs w:val="24"/>
      <w:lang w:val="fr-CA" w:eastAsia="fr-CA"/>
    </w:rPr>
  </w:style>
  <w:style w:type="paragraph" w:styleId="HTMLPreformatted">
    <w:name w:val="HTML Preformatted"/>
    <w:basedOn w:val="Normal"/>
    <w:link w:val="HTMLPreformattedChar"/>
    <w:uiPriority w:val="99"/>
    <w:rsid w:val="000A2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Cs w:val="20"/>
      <w:lang w:val="fr-CA" w:eastAsia="fr-CA"/>
    </w:rPr>
  </w:style>
  <w:style w:type="character" w:customStyle="1" w:styleId="HTMLPreformattedChar">
    <w:name w:val="HTML Preformatted Char"/>
    <w:basedOn w:val="DefaultParagraphFont"/>
    <w:link w:val="HTMLPreformatted"/>
    <w:uiPriority w:val="99"/>
    <w:rsid w:val="000A2343"/>
    <w:rPr>
      <w:rFonts w:ascii="Courier New" w:eastAsia="MS Mincho" w:hAnsi="Courier New" w:cs="Courier New"/>
      <w:sz w:val="20"/>
      <w:szCs w:val="20"/>
      <w:lang w:val="fr-CA" w:eastAsia="fr-CA"/>
    </w:rPr>
  </w:style>
  <w:style w:type="paragraph" w:customStyle="1" w:styleId="TableParagraph">
    <w:name w:val="Table Paragraph"/>
    <w:basedOn w:val="Normal"/>
    <w:uiPriority w:val="1"/>
    <w:qFormat/>
    <w:rsid w:val="000A2343"/>
    <w:pPr>
      <w:widowControl w:val="0"/>
      <w:autoSpaceDE w:val="0"/>
      <w:autoSpaceDN w:val="0"/>
      <w:adjustRightInd w:val="0"/>
    </w:pPr>
    <w:rPr>
      <w:sz w:val="24"/>
      <w:szCs w:val="24"/>
      <w:lang w:val="fr-CA" w:eastAsia="fr-CA"/>
    </w:rPr>
  </w:style>
  <w:style w:type="paragraph" w:styleId="PlainText">
    <w:name w:val="Plain Text"/>
    <w:basedOn w:val="Normal"/>
    <w:link w:val="PlainTextChar"/>
    <w:uiPriority w:val="99"/>
    <w:unhideWhenUsed/>
    <w:rsid w:val="000A2343"/>
    <w:rPr>
      <w:rFonts w:ascii="Calibri" w:hAnsi="Calibri"/>
      <w:szCs w:val="21"/>
      <w:lang w:val="fr-CA" w:eastAsia="fr-CA"/>
    </w:rPr>
  </w:style>
  <w:style w:type="character" w:customStyle="1" w:styleId="PlainTextChar">
    <w:name w:val="Plain Text Char"/>
    <w:basedOn w:val="DefaultParagraphFont"/>
    <w:link w:val="PlainText"/>
    <w:uiPriority w:val="99"/>
    <w:rsid w:val="000A2343"/>
    <w:rPr>
      <w:rFonts w:ascii="Calibri" w:eastAsia="Times New Roman" w:hAnsi="Calibri" w:cs="Times New Roman"/>
      <w:szCs w:val="21"/>
      <w:lang w:val="fr-CA" w:eastAsia="fr-CA"/>
    </w:rPr>
  </w:style>
  <w:style w:type="paragraph" w:customStyle="1" w:styleId="Style1">
    <w:name w:val="Style 1"/>
    <w:basedOn w:val="Normal"/>
    <w:uiPriority w:val="99"/>
    <w:rsid w:val="000A2343"/>
    <w:pPr>
      <w:widowControl w:val="0"/>
      <w:autoSpaceDE w:val="0"/>
      <w:autoSpaceDN w:val="0"/>
    </w:pPr>
    <w:rPr>
      <w:sz w:val="24"/>
      <w:szCs w:val="24"/>
      <w:lang w:val="en-US" w:eastAsia="fr-CA"/>
    </w:rPr>
  </w:style>
  <w:style w:type="paragraph" w:customStyle="1" w:styleId="ProspectusL1">
    <w:name w:val="Prospectus_L1"/>
    <w:basedOn w:val="Normal"/>
    <w:next w:val="Normal"/>
    <w:link w:val="ProspectusL1Char"/>
    <w:rsid w:val="000A2343"/>
    <w:pPr>
      <w:keepNext/>
      <w:numPr>
        <w:numId w:val="2"/>
      </w:numPr>
      <w:spacing w:after="240"/>
      <w:jc w:val="center"/>
      <w:outlineLvl w:val="0"/>
    </w:pPr>
    <w:rPr>
      <w:b/>
      <w:caps/>
      <w:color w:val="000000"/>
      <w:lang w:val="en-US" w:eastAsia="fr-FR"/>
    </w:rPr>
  </w:style>
  <w:style w:type="character" w:customStyle="1" w:styleId="ProspectusL1Char">
    <w:name w:val="Prospectus_L1 Char"/>
    <w:basedOn w:val="CorpsdetexteCar"/>
    <w:link w:val="ProspectusL1"/>
    <w:rsid w:val="000A2343"/>
    <w:rPr>
      <w:rFonts w:ascii="Times New Roman" w:eastAsia="Times New Roman" w:hAnsi="Times New Roman" w:cs="Times New Roman"/>
      <w:b/>
      <w:caps/>
      <w:color w:val="000000"/>
      <w:sz w:val="20"/>
      <w:szCs w:val="22"/>
      <w:lang w:val="en-US" w:eastAsia="fr-FR" w:bidi="ar-SA"/>
    </w:rPr>
  </w:style>
  <w:style w:type="paragraph" w:customStyle="1" w:styleId="ProspectusL2">
    <w:name w:val="Prospectus_L2"/>
    <w:basedOn w:val="ProspectusL1"/>
    <w:link w:val="ProspectusL2Char"/>
    <w:rsid w:val="000A2343"/>
    <w:pPr>
      <w:numPr>
        <w:ilvl w:val="1"/>
      </w:numPr>
      <w:jc w:val="both"/>
      <w:outlineLvl w:val="1"/>
    </w:pPr>
    <w:rPr>
      <w:caps w:val="0"/>
    </w:rPr>
  </w:style>
  <w:style w:type="paragraph" w:customStyle="1" w:styleId="ProspectusL3">
    <w:name w:val="Prospectus_L3"/>
    <w:basedOn w:val="ProspectusL2"/>
    <w:link w:val="ProspectusL3Char"/>
    <w:rsid w:val="00D80C54"/>
    <w:pPr>
      <w:numPr>
        <w:ilvl w:val="2"/>
      </w:numPr>
      <w:outlineLvl w:val="2"/>
    </w:pPr>
    <w:rPr>
      <w:i/>
    </w:rPr>
  </w:style>
  <w:style w:type="paragraph" w:customStyle="1" w:styleId="ProspectusL4">
    <w:name w:val="Prospectus_L4"/>
    <w:basedOn w:val="ProspectusL3"/>
    <w:rsid w:val="000A2343"/>
    <w:pPr>
      <w:keepNext w:val="0"/>
      <w:numPr>
        <w:ilvl w:val="3"/>
      </w:numPr>
      <w:outlineLvl w:val="3"/>
    </w:pPr>
    <w:rPr>
      <w:b w:val="0"/>
      <w:i w:val="0"/>
      <w:u w:val="single"/>
    </w:rPr>
  </w:style>
  <w:style w:type="paragraph" w:customStyle="1" w:styleId="ProspectusL5">
    <w:name w:val="Prospectus_L5"/>
    <w:basedOn w:val="ProspectusL4"/>
    <w:rsid w:val="000A2343"/>
    <w:pPr>
      <w:numPr>
        <w:ilvl w:val="4"/>
      </w:numPr>
      <w:outlineLvl w:val="4"/>
    </w:pPr>
    <w:rPr>
      <w:u w:val="none"/>
    </w:rPr>
  </w:style>
  <w:style w:type="paragraph" w:customStyle="1" w:styleId="ProspectusL6">
    <w:name w:val="Prospectus_L6"/>
    <w:basedOn w:val="ProspectusL5"/>
    <w:rsid w:val="000A2343"/>
    <w:pPr>
      <w:numPr>
        <w:ilvl w:val="5"/>
      </w:numPr>
      <w:outlineLvl w:val="5"/>
    </w:pPr>
  </w:style>
  <w:style w:type="paragraph" w:customStyle="1" w:styleId="ProspectusL7">
    <w:name w:val="Prospectus_L7"/>
    <w:basedOn w:val="ProspectusL6"/>
    <w:rsid w:val="000A2343"/>
    <w:pPr>
      <w:numPr>
        <w:ilvl w:val="6"/>
      </w:numPr>
      <w:outlineLvl w:val="6"/>
    </w:pPr>
  </w:style>
  <w:style w:type="paragraph" w:customStyle="1" w:styleId="ProspectusL8">
    <w:name w:val="Prospectus_L8"/>
    <w:basedOn w:val="ProspectusL7"/>
    <w:rsid w:val="005C6077"/>
    <w:pPr>
      <w:numPr>
        <w:ilvl w:val="7"/>
      </w:numPr>
      <w:outlineLvl w:val="7"/>
    </w:pPr>
  </w:style>
  <w:style w:type="paragraph" w:customStyle="1" w:styleId="ProspectusL9">
    <w:name w:val="Prospectus_L9"/>
    <w:basedOn w:val="ProspectusL8"/>
    <w:rsid w:val="000A2343"/>
    <w:pPr>
      <w:numPr>
        <w:ilvl w:val="8"/>
      </w:numPr>
      <w:outlineLvl w:val="8"/>
    </w:pPr>
    <w:rPr>
      <w:lang w:val="en-CA"/>
    </w:rPr>
  </w:style>
  <w:style w:type="paragraph" w:customStyle="1" w:styleId="Titre21">
    <w:name w:val="Titre 21"/>
    <w:basedOn w:val="Normal"/>
    <w:rsid w:val="000A2343"/>
    <w:pPr>
      <w:numPr>
        <w:ilvl w:val="1"/>
        <w:numId w:val="3"/>
      </w:numPr>
    </w:pPr>
  </w:style>
  <w:style w:type="paragraph" w:customStyle="1" w:styleId="Titre31">
    <w:name w:val="Titre 31"/>
    <w:basedOn w:val="Normal"/>
    <w:rsid w:val="000A2343"/>
    <w:pPr>
      <w:numPr>
        <w:ilvl w:val="2"/>
        <w:numId w:val="3"/>
      </w:numPr>
    </w:pPr>
  </w:style>
  <w:style w:type="paragraph" w:customStyle="1" w:styleId="Titre41">
    <w:name w:val="Titre 41"/>
    <w:basedOn w:val="Normal"/>
    <w:rsid w:val="000A2343"/>
    <w:pPr>
      <w:numPr>
        <w:ilvl w:val="3"/>
        <w:numId w:val="3"/>
      </w:numPr>
    </w:pPr>
  </w:style>
  <w:style w:type="paragraph" w:customStyle="1" w:styleId="Titre51">
    <w:name w:val="Titre 51"/>
    <w:basedOn w:val="Normal"/>
    <w:rsid w:val="000A2343"/>
    <w:pPr>
      <w:numPr>
        <w:ilvl w:val="4"/>
        <w:numId w:val="3"/>
      </w:numPr>
    </w:pPr>
  </w:style>
  <w:style w:type="paragraph" w:customStyle="1" w:styleId="Titre61">
    <w:name w:val="Titre 61"/>
    <w:basedOn w:val="Normal"/>
    <w:rsid w:val="000A2343"/>
    <w:pPr>
      <w:numPr>
        <w:ilvl w:val="5"/>
        <w:numId w:val="3"/>
      </w:numPr>
    </w:pPr>
  </w:style>
  <w:style w:type="paragraph" w:customStyle="1" w:styleId="Titre71">
    <w:name w:val="Titre 71"/>
    <w:basedOn w:val="Normal"/>
    <w:rsid w:val="000A2343"/>
    <w:pPr>
      <w:numPr>
        <w:ilvl w:val="6"/>
        <w:numId w:val="3"/>
      </w:numPr>
    </w:pPr>
  </w:style>
  <w:style w:type="paragraph" w:customStyle="1" w:styleId="Titre81">
    <w:name w:val="Titre 81"/>
    <w:basedOn w:val="Normal"/>
    <w:rsid w:val="000A2343"/>
    <w:pPr>
      <w:numPr>
        <w:ilvl w:val="7"/>
        <w:numId w:val="3"/>
      </w:numPr>
    </w:pPr>
  </w:style>
  <w:style w:type="paragraph" w:customStyle="1" w:styleId="Titre91">
    <w:name w:val="Titre 91"/>
    <w:basedOn w:val="Normal"/>
    <w:rsid w:val="000A2343"/>
    <w:pPr>
      <w:numPr>
        <w:ilvl w:val="8"/>
        <w:numId w:val="3"/>
      </w:numPr>
    </w:pPr>
  </w:style>
  <w:style w:type="paragraph" w:customStyle="1" w:styleId="Par2">
    <w:name w:val="Par. # 2"/>
    <w:basedOn w:val="Par1"/>
    <w:next w:val="Normal"/>
    <w:rsid w:val="000A2343"/>
    <w:pPr>
      <w:numPr>
        <w:ilvl w:val="1"/>
      </w:numPr>
      <w:outlineLvl w:val="1"/>
    </w:pPr>
    <w:rPr>
      <w:b w:val="0"/>
    </w:rPr>
  </w:style>
  <w:style w:type="paragraph" w:customStyle="1" w:styleId="Par3">
    <w:name w:val="Par. # 3"/>
    <w:basedOn w:val="Par2"/>
    <w:next w:val="Normal"/>
    <w:rsid w:val="000A2343"/>
    <w:pPr>
      <w:numPr>
        <w:ilvl w:val="2"/>
      </w:numPr>
      <w:outlineLvl w:val="2"/>
    </w:pPr>
  </w:style>
  <w:style w:type="paragraph" w:customStyle="1" w:styleId="Par1">
    <w:name w:val="Par. # 1"/>
    <w:basedOn w:val="Normal"/>
    <w:next w:val="Indent1"/>
    <w:rsid w:val="000A2343"/>
    <w:pPr>
      <w:keepNext/>
      <w:numPr>
        <w:numId w:val="4"/>
      </w:numPr>
      <w:spacing w:after="260" w:line="260" w:lineRule="atLeast"/>
      <w:outlineLvl w:val="0"/>
    </w:pPr>
    <w:rPr>
      <w:rFonts w:ascii="Georgia" w:hAnsi="Georgia"/>
      <w:b/>
    </w:rPr>
  </w:style>
  <w:style w:type="character" w:customStyle="1" w:styleId="UnresolvedMention1">
    <w:name w:val="Unresolved Mention1"/>
    <w:basedOn w:val="DefaultParagraphFont"/>
    <w:uiPriority w:val="99"/>
    <w:semiHidden/>
    <w:unhideWhenUsed/>
    <w:rsid w:val="0022702F"/>
    <w:rPr>
      <w:color w:val="605E5C"/>
      <w:shd w:val="clear" w:color="auto" w:fill="E1DFDD"/>
    </w:rPr>
  </w:style>
  <w:style w:type="paragraph" w:styleId="NoSpacing">
    <w:name w:val="No Spacing"/>
    <w:aliases w:val="Sub title"/>
    <w:uiPriority w:val="1"/>
    <w:qFormat/>
    <w:rsid w:val="00017289"/>
    <w:pPr>
      <w:spacing w:after="0" w:line="240" w:lineRule="auto"/>
    </w:pPr>
    <w:rPr>
      <w:rFonts w:ascii="Times New Roman" w:hAnsi="Times New Roman"/>
      <w:sz w:val="24"/>
      <w:szCs w:val="24"/>
    </w:rPr>
  </w:style>
  <w:style w:type="paragraph" w:styleId="FootnoteText">
    <w:name w:val="footnote text"/>
    <w:basedOn w:val="Normal"/>
    <w:link w:val="FootnoteTextChar"/>
    <w:uiPriority w:val="99"/>
    <w:unhideWhenUsed/>
    <w:rsid w:val="00D76D7B"/>
    <w:pPr>
      <w:ind w:left="360" w:hanging="360"/>
    </w:pPr>
    <w:rPr>
      <w:sz w:val="16"/>
      <w:szCs w:val="20"/>
      <w:lang w:val="en-US"/>
    </w:rPr>
  </w:style>
  <w:style w:type="character" w:customStyle="1" w:styleId="FootnoteTextChar">
    <w:name w:val="Footnote Text Char"/>
    <w:basedOn w:val="DefaultParagraphFont"/>
    <w:link w:val="FootnoteText"/>
    <w:uiPriority w:val="99"/>
    <w:rsid w:val="00D76D7B"/>
    <w:rPr>
      <w:rFonts w:ascii="Times New Roman" w:eastAsia="Times New Roman" w:hAnsi="Times New Roman" w:cs="Times New Roman"/>
      <w:sz w:val="16"/>
      <w:szCs w:val="20"/>
    </w:rPr>
  </w:style>
  <w:style w:type="character" w:styleId="FootnoteReference">
    <w:name w:val="footnote reference"/>
    <w:basedOn w:val="DefaultParagraphFont"/>
    <w:uiPriority w:val="99"/>
    <w:semiHidden/>
    <w:unhideWhenUsed/>
    <w:rsid w:val="00017289"/>
    <w:rPr>
      <w:vertAlign w:val="superscript"/>
    </w:rPr>
  </w:style>
  <w:style w:type="character" w:customStyle="1" w:styleId="UnresolvedMention10">
    <w:name w:val="Unresolved Mention1"/>
    <w:basedOn w:val="DefaultParagraphFont"/>
    <w:uiPriority w:val="99"/>
    <w:semiHidden/>
    <w:unhideWhenUsed/>
    <w:rsid w:val="00017289"/>
    <w:rPr>
      <w:color w:val="605E5C"/>
      <w:shd w:val="clear" w:color="auto" w:fill="E1DFDD"/>
    </w:rPr>
  </w:style>
  <w:style w:type="character" w:styleId="PlaceholderText">
    <w:name w:val="Placeholder Text"/>
    <w:basedOn w:val="DefaultParagraphFont"/>
    <w:uiPriority w:val="99"/>
    <w:semiHidden/>
    <w:rsid w:val="00766A64"/>
    <w:rPr>
      <w:color w:val="808080"/>
    </w:rPr>
  </w:style>
  <w:style w:type="character" w:customStyle="1" w:styleId="TableTextChar">
    <w:name w:val="Table Text Char"/>
    <w:basedOn w:val="DefaultParagraphFont"/>
    <w:link w:val="TableText"/>
    <w:uiPriority w:val="1"/>
    <w:rsid w:val="00FC2E8F"/>
    <w:rPr>
      <w:rFonts w:ascii="Times New Roman" w:eastAsia="Times New Roman" w:hAnsi="Times New Roman" w:cs="Times New Roman"/>
      <w:lang w:val="en-CA"/>
    </w:rPr>
  </w:style>
  <w:style w:type="character" w:customStyle="1" w:styleId="TableHeadingChar">
    <w:name w:val="Table Heading Char"/>
    <w:basedOn w:val="DefaultParagraphFont"/>
    <w:link w:val="TableHeading"/>
    <w:uiPriority w:val="1"/>
    <w:rsid w:val="00FC2E8F"/>
    <w:rPr>
      <w:rFonts w:ascii="Times New Roman" w:eastAsia="Times New Roman" w:hAnsi="Times New Roman" w:cs="Times New Roman"/>
      <w:b/>
      <w:szCs w:val="20"/>
      <w:lang w:val="en-CA"/>
    </w:rPr>
  </w:style>
  <w:style w:type="paragraph" w:customStyle="1" w:styleId="SubtitleItalic">
    <w:name w:val="Subtitle Italic"/>
    <w:link w:val="SubtitleItalicChar"/>
    <w:uiPriority w:val="1"/>
    <w:qFormat/>
    <w:rsid w:val="004F656E"/>
    <w:pPr>
      <w:spacing w:before="120" w:after="240" w:line="240" w:lineRule="auto"/>
      <w:ind w:left="101"/>
    </w:pPr>
    <w:rPr>
      <w:rFonts w:ascii="Times New Roman" w:eastAsia="Times New Roman" w:hAnsi="Times New Roman" w:cs="Arial"/>
      <w:b/>
      <w:bCs/>
      <w:i/>
      <w:sz w:val="19"/>
      <w:szCs w:val="19"/>
      <w:lang w:val="en-CA"/>
    </w:rPr>
  </w:style>
  <w:style w:type="character" w:customStyle="1" w:styleId="SubtitleItalicChar">
    <w:name w:val="Subtitle Italic Char"/>
    <w:basedOn w:val="Heading2Char"/>
    <w:link w:val="SubtitleItalic"/>
    <w:uiPriority w:val="1"/>
    <w:rsid w:val="004F656E"/>
    <w:rPr>
      <w:rFonts w:ascii="Times New Roman" w:eastAsia="Times New Roman" w:hAnsi="Times New Roman" w:cs="Arial"/>
      <w:b/>
      <w:bCs/>
      <w:i/>
      <w:sz w:val="19"/>
      <w:szCs w:val="19"/>
      <w:lang w:val="en-CA"/>
    </w:rPr>
  </w:style>
  <w:style w:type="paragraph" w:customStyle="1" w:styleId="ArticleL1">
    <w:name w:val="Article_L1"/>
    <w:basedOn w:val="Normal"/>
    <w:next w:val="ArticleL2"/>
    <w:rsid w:val="0053189B"/>
    <w:pPr>
      <w:keepNext/>
      <w:numPr>
        <w:numId w:val="5"/>
      </w:numPr>
      <w:spacing w:before="240" w:after="240"/>
      <w:jc w:val="center"/>
      <w:outlineLvl w:val="0"/>
    </w:pPr>
    <w:rPr>
      <w:b/>
      <w:sz w:val="18"/>
      <w:szCs w:val="20"/>
      <w:lang w:val="en-US"/>
    </w:rPr>
  </w:style>
  <w:style w:type="paragraph" w:customStyle="1" w:styleId="ArticleL2">
    <w:name w:val="Article_L2"/>
    <w:basedOn w:val="ArticleL1"/>
    <w:rsid w:val="0053189B"/>
    <w:pPr>
      <w:numPr>
        <w:ilvl w:val="1"/>
      </w:numPr>
      <w:spacing w:before="0"/>
      <w:jc w:val="left"/>
      <w:outlineLvl w:val="1"/>
    </w:pPr>
  </w:style>
  <w:style w:type="paragraph" w:customStyle="1" w:styleId="ArticleL3">
    <w:name w:val="Article_L3"/>
    <w:basedOn w:val="ArticleL2"/>
    <w:rsid w:val="0053189B"/>
    <w:pPr>
      <w:numPr>
        <w:ilvl w:val="2"/>
      </w:numPr>
      <w:outlineLvl w:val="2"/>
    </w:pPr>
    <w:rPr>
      <w:rFonts w:ascii="Calibri" w:hAnsi="Calibri" w:cs="Calibri"/>
      <w:sz w:val="22"/>
    </w:rPr>
  </w:style>
  <w:style w:type="paragraph" w:customStyle="1" w:styleId="ArticleL4">
    <w:name w:val="Article_L4"/>
    <w:basedOn w:val="ArticleL3"/>
    <w:rsid w:val="0053189B"/>
    <w:pPr>
      <w:numPr>
        <w:ilvl w:val="3"/>
      </w:numPr>
      <w:outlineLvl w:val="3"/>
    </w:pPr>
  </w:style>
  <w:style w:type="paragraph" w:customStyle="1" w:styleId="ArticleL5">
    <w:name w:val="Article_L5"/>
    <w:basedOn w:val="ArticleL4"/>
    <w:link w:val="ArticleL5Char"/>
    <w:rsid w:val="0053189B"/>
    <w:pPr>
      <w:keepNext w:val="0"/>
      <w:numPr>
        <w:ilvl w:val="4"/>
      </w:numPr>
      <w:outlineLvl w:val="4"/>
    </w:pPr>
    <w:rPr>
      <w:b w:val="0"/>
    </w:rPr>
  </w:style>
  <w:style w:type="character" w:customStyle="1" w:styleId="ArticleL5Char">
    <w:name w:val="Article_L5 Char"/>
    <w:basedOn w:val="DefaultParagraphFont"/>
    <w:link w:val="ArticleL5"/>
    <w:rsid w:val="0053189B"/>
    <w:rPr>
      <w:rFonts w:ascii="Calibri" w:eastAsia="Times New Roman" w:hAnsi="Calibri" w:cs="Calibri"/>
      <w:szCs w:val="20"/>
    </w:rPr>
  </w:style>
  <w:style w:type="paragraph" w:customStyle="1" w:styleId="ArticleL6">
    <w:name w:val="Article_L6"/>
    <w:basedOn w:val="ArticleL5"/>
    <w:rsid w:val="0053189B"/>
    <w:pPr>
      <w:numPr>
        <w:ilvl w:val="5"/>
      </w:numPr>
      <w:outlineLvl w:val="5"/>
    </w:pPr>
  </w:style>
  <w:style w:type="paragraph" w:customStyle="1" w:styleId="ArticleL7">
    <w:name w:val="Article_L7"/>
    <w:basedOn w:val="ArticleL6"/>
    <w:rsid w:val="0053189B"/>
    <w:pPr>
      <w:numPr>
        <w:ilvl w:val="6"/>
      </w:numPr>
      <w:outlineLvl w:val="6"/>
    </w:pPr>
  </w:style>
  <w:style w:type="paragraph" w:customStyle="1" w:styleId="ArticleL8">
    <w:name w:val="Article_L8"/>
    <w:basedOn w:val="ArticleL7"/>
    <w:rsid w:val="0053189B"/>
    <w:pPr>
      <w:numPr>
        <w:ilvl w:val="7"/>
      </w:numPr>
      <w:outlineLvl w:val="7"/>
    </w:pPr>
  </w:style>
  <w:style w:type="paragraph" w:customStyle="1" w:styleId="ArticleL9">
    <w:name w:val="Article_L9"/>
    <w:basedOn w:val="ArticleL8"/>
    <w:rsid w:val="0053189B"/>
    <w:pPr>
      <w:numPr>
        <w:ilvl w:val="8"/>
      </w:numPr>
      <w:outlineLvl w:val="8"/>
    </w:pPr>
  </w:style>
  <w:style w:type="table" w:customStyle="1" w:styleId="TableNormal1">
    <w:name w:val="Table Normal1"/>
    <w:uiPriority w:val="2"/>
    <w:semiHidden/>
    <w:unhideWhenUsed/>
    <w:qFormat/>
    <w:rsid w:val="00AF7002"/>
    <w:pPr>
      <w:widowControl w:val="0"/>
      <w:spacing w:after="0" w:line="240" w:lineRule="auto"/>
    </w:pPr>
    <w:tblPr>
      <w:tblInd w:w="0" w:type="dxa"/>
      <w:tblCellMar>
        <w:top w:w="0" w:type="dxa"/>
        <w:left w:w="0" w:type="dxa"/>
        <w:bottom w:w="0" w:type="dxa"/>
        <w:right w:w="0" w:type="dxa"/>
      </w:tblCellMar>
    </w:tblPr>
  </w:style>
  <w:style w:type="paragraph" w:styleId="Subtitle">
    <w:name w:val="Subtitle"/>
    <w:aliases w:val="Schedule Text"/>
    <w:basedOn w:val="Normal"/>
    <w:next w:val="Normal"/>
    <w:link w:val="SubtitleChar"/>
    <w:uiPriority w:val="11"/>
    <w:qFormat/>
    <w:rsid w:val="0010344D"/>
    <w:pPr>
      <w:widowControl w:val="0"/>
      <w:numPr>
        <w:ilvl w:val="1"/>
      </w:numPr>
      <w:spacing w:before="78" w:after="240" w:line="245" w:lineRule="auto"/>
      <w:ind w:left="792"/>
    </w:pPr>
    <w:rPr>
      <w:sz w:val="19"/>
      <w:lang w:val="en-US"/>
    </w:rPr>
  </w:style>
  <w:style w:type="character" w:customStyle="1" w:styleId="SubtitleChar">
    <w:name w:val="Subtitle Char"/>
    <w:aliases w:val="Schedule Text Char"/>
    <w:basedOn w:val="DefaultParagraphFont"/>
    <w:link w:val="Subtitle"/>
    <w:uiPriority w:val="11"/>
    <w:rsid w:val="0010344D"/>
    <w:rPr>
      <w:rFonts w:ascii="Times New Roman" w:eastAsia="Times New Roman" w:hAnsi="Times New Roman"/>
      <w:sz w:val="19"/>
    </w:rPr>
  </w:style>
  <w:style w:type="paragraph" w:customStyle="1" w:styleId="TextMainALTM">
    <w:name w:val="Text Main (ALT+M)"/>
    <w:basedOn w:val="Normal"/>
    <w:link w:val="TextMainALTMChar"/>
    <w:qFormat/>
    <w:rsid w:val="001D1373"/>
    <w:pPr>
      <w:widowControl w:val="0"/>
      <w:spacing w:after="60" w:line="300" w:lineRule="auto"/>
      <w:ind w:left="709"/>
    </w:pPr>
    <w:rPr>
      <w:rFonts w:ascii="Arial" w:hAnsi="Arial"/>
      <w:szCs w:val="20"/>
      <w:lang w:val="en-GB"/>
    </w:rPr>
  </w:style>
  <w:style w:type="paragraph" w:styleId="Caption">
    <w:name w:val="caption"/>
    <w:aliases w:val="Figure Caption Margin (CTRL+SHIFT+F),Caption Margin Figure (CTRL+SHIFT+F)"/>
    <w:basedOn w:val="Normal"/>
    <w:next w:val="TextMainALTM"/>
    <w:link w:val="CaptionChar"/>
    <w:uiPriority w:val="35"/>
    <w:unhideWhenUsed/>
    <w:qFormat/>
    <w:rsid w:val="001D1373"/>
    <w:pPr>
      <w:tabs>
        <w:tab w:val="left" w:pos="1418"/>
      </w:tabs>
      <w:spacing w:before="120" w:after="60"/>
      <w:ind w:left="1418" w:hanging="1418"/>
    </w:pPr>
    <w:rPr>
      <w:rFonts w:ascii="Arial" w:hAnsi="Arial"/>
      <w:b/>
      <w:bCs/>
      <w:color w:val="000000" w:themeColor="text1"/>
      <w:szCs w:val="18"/>
      <w:lang w:val="en-GB"/>
    </w:rPr>
  </w:style>
  <w:style w:type="character" w:customStyle="1" w:styleId="CaptionChar">
    <w:name w:val="Caption Char"/>
    <w:aliases w:val="Figure Caption Margin (CTRL+SHIFT+F) Char,Caption Margin Figure (CTRL+SHIFT+F) Char"/>
    <w:link w:val="Caption"/>
    <w:uiPriority w:val="35"/>
    <w:rsid w:val="001D1373"/>
    <w:rPr>
      <w:rFonts w:ascii="Arial" w:eastAsia="Times New Roman" w:hAnsi="Arial" w:cs="Times New Roman"/>
      <w:b/>
      <w:bCs/>
      <w:color w:val="000000" w:themeColor="text1"/>
      <w:sz w:val="20"/>
      <w:szCs w:val="18"/>
      <w:lang w:val="en-GB"/>
    </w:rPr>
  </w:style>
  <w:style w:type="paragraph" w:customStyle="1" w:styleId="PrelimHead2">
    <w:name w:val="Prelim Head 2"/>
    <w:next w:val="Normal"/>
    <w:qFormat/>
    <w:rsid w:val="00D16E7F"/>
    <w:pPr>
      <w:spacing w:before="240" w:after="0" w:line="240" w:lineRule="auto"/>
      <w:ind w:left="720"/>
      <w:outlineLvl w:val="0"/>
    </w:pPr>
    <w:rPr>
      <w:rFonts w:ascii="Arial" w:eastAsia="Times New Roman" w:hAnsi="Arial" w:cs="Times New Roman"/>
      <w:b/>
      <w:bCs/>
      <w:sz w:val="36"/>
      <w:szCs w:val="20"/>
      <w:lang w:val="en-CA"/>
    </w:rPr>
  </w:style>
  <w:style w:type="paragraph" w:customStyle="1" w:styleId="BodyTextExecutiveSummary">
    <w:name w:val="Body Text Executive Summary"/>
    <w:basedOn w:val="BodyText"/>
    <w:link w:val="BodyTextExecutiveSummaryChar"/>
    <w:uiPriority w:val="99"/>
    <w:rsid w:val="00D16E7F"/>
    <w:pPr>
      <w:spacing w:after="0"/>
      <w:ind w:left="720"/>
      <w:jc w:val="left"/>
    </w:pPr>
    <w:rPr>
      <w:rFonts w:cs="Arial"/>
      <w:sz w:val="24"/>
      <w:szCs w:val="24"/>
      <w:lang w:val="en-CA" w:eastAsia="en-GB"/>
    </w:rPr>
  </w:style>
  <w:style w:type="character" w:customStyle="1" w:styleId="BodyTextExecutiveSummaryChar">
    <w:name w:val="Body Text Executive Summary Char"/>
    <w:basedOn w:val="BodyTextChar"/>
    <w:link w:val="BodyTextExecutiveSummary"/>
    <w:uiPriority w:val="99"/>
    <w:locked/>
    <w:rsid w:val="00D16E7F"/>
    <w:rPr>
      <w:rFonts w:ascii="Times New Roman" w:eastAsia="Times New Roman" w:hAnsi="Times New Roman" w:cs="Arial"/>
      <w:sz w:val="24"/>
      <w:szCs w:val="24"/>
      <w:lang w:val="en-CA" w:eastAsia="en-GB"/>
    </w:rPr>
  </w:style>
  <w:style w:type="paragraph" w:customStyle="1" w:styleId="MacPacTrailer">
    <w:name w:val="MacPac Trailer"/>
    <w:rsid w:val="00971AD7"/>
    <w:pPr>
      <w:widowControl w:val="0"/>
      <w:spacing w:after="0" w:line="200" w:lineRule="exact"/>
    </w:pPr>
    <w:rPr>
      <w:rFonts w:ascii="Times New Roman" w:eastAsia="Times New Roman" w:hAnsi="Times New Roman" w:cs="Times New Roman"/>
      <w:sz w:val="16"/>
    </w:rPr>
  </w:style>
  <w:style w:type="paragraph" w:customStyle="1" w:styleId="KIndent1">
    <w:name w:val="K Indent1"/>
    <w:basedOn w:val="Normal"/>
    <w:link w:val="KIndent1Char"/>
    <w:qFormat/>
    <w:rsid w:val="00351391"/>
    <w:pPr>
      <w:spacing w:after="320" w:line="300" w:lineRule="auto"/>
      <w:ind w:left="720"/>
    </w:pPr>
    <w:rPr>
      <w:rFonts w:ascii="Arial" w:hAnsi="Arial" w:cs="Arial"/>
      <w:color w:val="000000"/>
      <w:sz w:val="21"/>
      <w:lang w:val="en-GB"/>
    </w:rPr>
  </w:style>
  <w:style w:type="character" w:customStyle="1" w:styleId="KIndent1Char">
    <w:name w:val="K Indent1 Char"/>
    <w:basedOn w:val="DefaultParagraphFont"/>
    <w:link w:val="KIndent1"/>
    <w:rsid w:val="00351391"/>
    <w:rPr>
      <w:rFonts w:ascii="Arial" w:eastAsia="Times New Roman" w:hAnsi="Arial" w:cs="Arial"/>
      <w:color w:val="000000"/>
      <w:sz w:val="21"/>
      <w:lang w:val="en-GB"/>
    </w:rPr>
  </w:style>
  <w:style w:type="paragraph" w:customStyle="1" w:styleId="KBody">
    <w:name w:val="K Body"/>
    <w:link w:val="KBodyChar"/>
    <w:qFormat/>
    <w:rsid w:val="00EC04C9"/>
    <w:pPr>
      <w:spacing w:after="320" w:line="300" w:lineRule="auto"/>
      <w:jc w:val="both"/>
    </w:pPr>
    <w:rPr>
      <w:rFonts w:ascii="Arial" w:eastAsia="Times New Roman" w:hAnsi="Arial" w:cs="Arial"/>
      <w:color w:val="000000"/>
      <w:sz w:val="21"/>
      <w:lang w:val="en-GB"/>
    </w:rPr>
  </w:style>
  <w:style w:type="character" w:customStyle="1" w:styleId="KBodyChar">
    <w:name w:val="K Body Char"/>
    <w:basedOn w:val="DefaultParagraphFont"/>
    <w:link w:val="KBody"/>
    <w:rsid w:val="00EC04C9"/>
    <w:rPr>
      <w:rFonts w:ascii="Arial" w:eastAsia="Times New Roman" w:hAnsi="Arial" w:cs="Arial"/>
      <w:color w:val="000000"/>
      <w:sz w:val="21"/>
      <w:lang w:val="en-GB"/>
    </w:rPr>
  </w:style>
  <w:style w:type="paragraph" w:customStyle="1" w:styleId="KBullet1">
    <w:name w:val="K Bullet1"/>
    <w:basedOn w:val="KBody"/>
    <w:rsid w:val="00683FBE"/>
    <w:pPr>
      <w:numPr>
        <w:numId w:val="7"/>
      </w:numPr>
      <w:jc w:val="left"/>
    </w:pPr>
  </w:style>
  <w:style w:type="paragraph" w:customStyle="1" w:styleId="KBullet2">
    <w:name w:val="K Bullet2"/>
    <w:basedOn w:val="KBody"/>
    <w:rsid w:val="00683FBE"/>
    <w:pPr>
      <w:numPr>
        <w:ilvl w:val="1"/>
        <w:numId w:val="7"/>
      </w:numPr>
      <w:jc w:val="left"/>
    </w:pPr>
  </w:style>
  <w:style w:type="paragraph" w:customStyle="1" w:styleId="KBullet3">
    <w:name w:val="K Bullet3"/>
    <w:basedOn w:val="KBody"/>
    <w:qFormat/>
    <w:rsid w:val="00683FBE"/>
    <w:pPr>
      <w:numPr>
        <w:ilvl w:val="2"/>
        <w:numId w:val="7"/>
      </w:numPr>
      <w:jc w:val="left"/>
    </w:pPr>
  </w:style>
  <w:style w:type="paragraph" w:customStyle="1" w:styleId="KBullet4">
    <w:name w:val="K Bullet4"/>
    <w:basedOn w:val="KBody"/>
    <w:rsid w:val="00683FBE"/>
    <w:pPr>
      <w:numPr>
        <w:ilvl w:val="3"/>
        <w:numId w:val="7"/>
      </w:numPr>
      <w:jc w:val="left"/>
    </w:pPr>
  </w:style>
  <w:style w:type="paragraph" w:customStyle="1" w:styleId="KBullet5">
    <w:name w:val="K Bullet5"/>
    <w:basedOn w:val="KBody"/>
    <w:qFormat/>
    <w:rsid w:val="00683FBE"/>
    <w:pPr>
      <w:numPr>
        <w:ilvl w:val="4"/>
        <w:numId w:val="7"/>
      </w:numPr>
      <w:jc w:val="left"/>
    </w:pPr>
  </w:style>
  <w:style w:type="character" w:customStyle="1" w:styleId="TextMainALTMChar">
    <w:name w:val="Text Main (ALT+M) Char"/>
    <w:basedOn w:val="DefaultParagraphFont"/>
    <w:link w:val="TextMainALTM"/>
    <w:uiPriority w:val="99"/>
    <w:rsid w:val="00481003"/>
    <w:rPr>
      <w:rFonts w:ascii="Arial" w:eastAsia="Times New Roman" w:hAnsi="Arial" w:cs="Times New Roman"/>
      <w:sz w:val="20"/>
      <w:szCs w:val="20"/>
      <w:lang w:val="en-GB"/>
    </w:rPr>
  </w:style>
  <w:style w:type="character" w:customStyle="1" w:styleId="UnresolvedMention2">
    <w:name w:val="Unresolved Mention2"/>
    <w:basedOn w:val="DefaultParagraphFont"/>
    <w:uiPriority w:val="99"/>
    <w:unhideWhenUsed/>
    <w:rsid w:val="00275DC2"/>
    <w:rPr>
      <w:color w:val="605E5C"/>
      <w:shd w:val="clear" w:color="auto" w:fill="E1DFDD"/>
    </w:rPr>
  </w:style>
  <w:style w:type="character" w:styleId="UnresolvedMention">
    <w:name w:val="Unresolved Mention"/>
    <w:basedOn w:val="DefaultParagraphFont"/>
    <w:uiPriority w:val="99"/>
    <w:semiHidden/>
    <w:unhideWhenUsed/>
    <w:rsid w:val="006D65BD"/>
    <w:rPr>
      <w:color w:val="605E5C"/>
      <w:shd w:val="clear" w:color="auto" w:fill="E1DFDD"/>
    </w:rPr>
  </w:style>
  <w:style w:type="character" w:customStyle="1" w:styleId="ProspectusL2Char">
    <w:name w:val="Prospectus_L2 Char"/>
    <w:basedOn w:val="ProspectusL1Char"/>
    <w:link w:val="ProspectusL2"/>
    <w:rsid w:val="00E042BB"/>
    <w:rPr>
      <w:rFonts w:ascii="Times New Roman" w:eastAsia="Times New Roman" w:hAnsi="Times New Roman" w:cs="Times New Roman"/>
      <w:b/>
      <w:caps w:val="0"/>
      <w:color w:val="000000"/>
      <w:sz w:val="20"/>
      <w:szCs w:val="22"/>
      <w:lang w:val="en-US" w:eastAsia="fr-FR" w:bidi="ar-SA"/>
    </w:rPr>
  </w:style>
  <w:style w:type="character" w:customStyle="1" w:styleId="ProspectusL3Char">
    <w:name w:val="Prospectus_L3 Char"/>
    <w:basedOn w:val="ProspectusL2Char"/>
    <w:link w:val="ProspectusL3"/>
    <w:rsid w:val="00D80C54"/>
    <w:rPr>
      <w:rFonts w:ascii="Times New Roman" w:eastAsia="Times New Roman" w:hAnsi="Times New Roman" w:cs="Times New Roman"/>
      <w:b/>
      <w:i/>
      <w:caps w:val="0"/>
      <w:color w:val="000000"/>
      <w:sz w:val="20"/>
      <w:szCs w:val="22"/>
      <w:lang w:val="en-US" w:eastAsia="fr-FR" w:bidi="ar-SA"/>
    </w:rPr>
  </w:style>
  <w:style w:type="paragraph" w:customStyle="1" w:styleId="NoteHeading">
    <w:name w:val="NoteHeading"/>
    <w:basedOn w:val="Normal"/>
    <w:qFormat/>
    <w:rsid w:val="00BA1373"/>
    <w:pPr>
      <w:keepNext/>
      <w:keepLines/>
      <w:autoSpaceDE w:val="0"/>
      <w:autoSpaceDN w:val="0"/>
      <w:adjustRightInd w:val="0"/>
      <w:spacing w:before="120" w:after="120"/>
    </w:pPr>
    <w:rPr>
      <w:rFonts w:cs="Arial"/>
      <w:b/>
      <w:color w:val="000000"/>
      <w:sz w:val="18"/>
      <w:szCs w:val="18"/>
    </w:rPr>
  </w:style>
  <w:style w:type="paragraph" w:customStyle="1" w:styleId="Notes">
    <w:name w:val="Notes"/>
    <w:basedOn w:val="BodyText"/>
    <w:qFormat/>
    <w:rsid w:val="00150250"/>
    <w:pPr>
      <w:spacing w:after="0"/>
      <w:ind w:left="432" w:hanging="432"/>
    </w:pPr>
    <w:rPr>
      <w:sz w:val="18"/>
      <w:lang w:val="en-US"/>
    </w:rPr>
  </w:style>
  <w:style w:type="paragraph" w:customStyle="1" w:styleId="Legal5Cont1">
    <w:name w:val="Legal5 Cont 1"/>
    <w:basedOn w:val="Normal"/>
    <w:link w:val="Legal5Cont1Char"/>
    <w:rsid w:val="007C43C1"/>
    <w:pPr>
      <w:spacing w:after="240"/>
      <w:ind w:left="720"/>
    </w:pPr>
    <w:rPr>
      <w:szCs w:val="20"/>
    </w:rPr>
  </w:style>
  <w:style w:type="character" w:customStyle="1" w:styleId="ListParagraphChar">
    <w:name w:val="List Paragraph Char"/>
    <w:basedOn w:val="DefaultParagraphFont"/>
    <w:link w:val="ListParagraph"/>
    <w:uiPriority w:val="1"/>
    <w:rsid w:val="007C43C1"/>
    <w:rPr>
      <w:rFonts w:ascii="Calibri" w:eastAsia="Times New Roman" w:hAnsi="Calibri" w:cs="Times New Roman"/>
      <w:sz w:val="20"/>
      <w:lang w:val="en-CA"/>
    </w:rPr>
  </w:style>
  <w:style w:type="character" w:customStyle="1" w:styleId="Legal5Cont1Char">
    <w:name w:val="Legal5 Cont 1 Char"/>
    <w:basedOn w:val="ListParagraphChar"/>
    <w:link w:val="Legal5Cont1"/>
    <w:rsid w:val="007C43C1"/>
    <w:rPr>
      <w:rFonts w:ascii="Times New Roman" w:eastAsia="Times New Roman" w:hAnsi="Times New Roman" w:cs="Times New Roman"/>
      <w:sz w:val="20"/>
      <w:szCs w:val="20"/>
      <w:lang w:val="en-CA"/>
    </w:rPr>
  </w:style>
  <w:style w:type="paragraph" w:customStyle="1" w:styleId="Legal5Cont2">
    <w:name w:val="Legal5 Cont 2"/>
    <w:basedOn w:val="Legal5Cont1"/>
    <w:link w:val="Legal5Cont2Char"/>
    <w:rsid w:val="007C43C1"/>
  </w:style>
  <w:style w:type="character" w:customStyle="1" w:styleId="Legal5Cont2Char">
    <w:name w:val="Legal5 Cont 2 Char"/>
    <w:basedOn w:val="ListParagraphChar"/>
    <w:link w:val="Legal5Cont2"/>
    <w:rsid w:val="007C43C1"/>
    <w:rPr>
      <w:rFonts w:ascii="Times New Roman" w:eastAsia="Times New Roman" w:hAnsi="Times New Roman" w:cs="Times New Roman"/>
      <w:sz w:val="20"/>
      <w:szCs w:val="20"/>
      <w:lang w:val="en-CA"/>
    </w:rPr>
  </w:style>
  <w:style w:type="paragraph" w:customStyle="1" w:styleId="Legal5Cont3">
    <w:name w:val="Legal5 Cont 3"/>
    <w:basedOn w:val="Legal5Cont2"/>
    <w:link w:val="Legal5Cont3Char"/>
    <w:rsid w:val="007C43C1"/>
  </w:style>
  <w:style w:type="character" w:customStyle="1" w:styleId="Legal5Cont3Char">
    <w:name w:val="Legal5 Cont 3 Char"/>
    <w:basedOn w:val="ListParagraphChar"/>
    <w:link w:val="Legal5Cont3"/>
    <w:rsid w:val="007C43C1"/>
    <w:rPr>
      <w:rFonts w:ascii="Times New Roman" w:eastAsia="Times New Roman" w:hAnsi="Times New Roman" w:cs="Times New Roman"/>
      <w:sz w:val="20"/>
      <w:szCs w:val="20"/>
      <w:lang w:val="en-CA"/>
    </w:rPr>
  </w:style>
  <w:style w:type="paragraph" w:customStyle="1" w:styleId="Legal5Cont4">
    <w:name w:val="Legal5 Cont 4"/>
    <w:basedOn w:val="Legal5Cont3"/>
    <w:link w:val="Legal5Cont4Char"/>
    <w:rsid w:val="007C43C1"/>
    <w:pPr>
      <w:ind w:left="1080"/>
    </w:pPr>
  </w:style>
  <w:style w:type="character" w:customStyle="1" w:styleId="Legal5Cont4Char">
    <w:name w:val="Legal5 Cont 4 Char"/>
    <w:basedOn w:val="ListParagraphChar"/>
    <w:link w:val="Legal5Cont4"/>
    <w:rsid w:val="007C43C1"/>
    <w:rPr>
      <w:rFonts w:ascii="Times New Roman" w:eastAsia="Times New Roman" w:hAnsi="Times New Roman" w:cs="Times New Roman"/>
      <w:sz w:val="20"/>
      <w:szCs w:val="20"/>
      <w:lang w:val="en-CA"/>
    </w:rPr>
  </w:style>
  <w:style w:type="paragraph" w:customStyle="1" w:styleId="Legal5Cont5">
    <w:name w:val="Legal5 Cont 5"/>
    <w:basedOn w:val="Legal5Cont4"/>
    <w:link w:val="Legal5Cont5Char"/>
    <w:rsid w:val="007C43C1"/>
    <w:pPr>
      <w:ind w:left="1440"/>
    </w:pPr>
  </w:style>
  <w:style w:type="character" w:customStyle="1" w:styleId="Legal5Cont5Char">
    <w:name w:val="Legal5 Cont 5 Char"/>
    <w:basedOn w:val="ListParagraphChar"/>
    <w:link w:val="Legal5Cont5"/>
    <w:rsid w:val="007C43C1"/>
    <w:rPr>
      <w:rFonts w:ascii="Times New Roman" w:eastAsia="Times New Roman" w:hAnsi="Times New Roman" w:cs="Times New Roman"/>
      <w:sz w:val="20"/>
      <w:szCs w:val="20"/>
      <w:lang w:val="en-CA"/>
    </w:rPr>
  </w:style>
  <w:style w:type="paragraph" w:customStyle="1" w:styleId="Legal5Cont6">
    <w:name w:val="Legal5 Cont 6"/>
    <w:basedOn w:val="Legal5Cont5"/>
    <w:link w:val="Legal5Cont6Char"/>
    <w:rsid w:val="007C43C1"/>
    <w:pPr>
      <w:ind w:left="2160"/>
    </w:pPr>
  </w:style>
  <w:style w:type="character" w:customStyle="1" w:styleId="Legal5Cont6Char">
    <w:name w:val="Legal5 Cont 6 Char"/>
    <w:basedOn w:val="ListParagraphChar"/>
    <w:link w:val="Legal5Cont6"/>
    <w:rsid w:val="007C43C1"/>
    <w:rPr>
      <w:rFonts w:ascii="Times New Roman" w:eastAsia="Times New Roman" w:hAnsi="Times New Roman" w:cs="Times New Roman"/>
      <w:sz w:val="20"/>
      <w:szCs w:val="20"/>
      <w:lang w:val="en-CA"/>
    </w:rPr>
  </w:style>
  <w:style w:type="paragraph" w:customStyle="1" w:styleId="Legal5Cont7">
    <w:name w:val="Legal5 Cont 7"/>
    <w:basedOn w:val="Legal5Cont6"/>
    <w:link w:val="Legal5Cont7Char"/>
    <w:rsid w:val="007C43C1"/>
    <w:pPr>
      <w:ind w:left="2880"/>
    </w:pPr>
  </w:style>
  <w:style w:type="character" w:customStyle="1" w:styleId="Legal5Cont7Char">
    <w:name w:val="Legal5 Cont 7 Char"/>
    <w:basedOn w:val="ListParagraphChar"/>
    <w:link w:val="Legal5Cont7"/>
    <w:rsid w:val="007C43C1"/>
    <w:rPr>
      <w:rFonts w:ascii="Times New Roman" w:eastAsia="Times New Roman" w:hAnsi="Times New Roman" w:cs="Times New Roman"/>
      <w:sz w:val="20"/>
      <w:szCs w:val="20"/>
      <w:lang w:val="en-CA"/>
    </w:rPr>
  </w:style>
  <w:style w:type="paragraph" w:customStyle="1" w:styleId="Legal5Cont8">
    <w:name w:val="Legal5 Cont 8"/>
    <w:basedOn w:val="Legal5Cont7"/>
    <w:link w:val="Legal5Cont8Char"/>
    <w:rsid w:val="007C43C1"/>
    <w:pPr>
      <w:ind w:left="3600"/>
    </w:pPr>
  </w:style>
  <w:style w:type="character" w:customStyle="1" w:styleId="Legal5Cont8Char">
    <w:name w:val="Legal5 Cont 8 Char"/>
    <w:basedOn w:val="ListParagraphChar"/>
    <w:link w:val="Legal5Cont8"/>
    <w:rsid w:val="007C43C1"/>
    <w:rPr>
      <w:rFonts w:ascii="Times New Roman" w:eastAsia="Times New Roman" w:hAnsi="Times New Roman" w:cs="Times New Roman"/>
      <w:sz w:val="20"/>
      <w:szCs w:val="20"/>
      <w:lang w:val="en-CA"/>
    </w:rPr>
  </w:style>
  <w:style w:type="paragraph" w:customStyle="1" w:styleId="Legal5L1">
    <w:name w:val="Legal5_L1"/>
    <w:basedOn w:val="Normal"/>
    <w:link w:val="Legal5L1Char"/>
    <w:rsid w:val="007C43C1"/>
    <w:pPr>
      <w:keepNext/>
      <w:numPr>
        <w:numId w:val="9"/>
      </w:numPr>
      <w:spacing w:after="240"/>
      <w:outlineLvl w:val="0"/>
    </w:pPr>
    <w:rPr>
      <w:b/>
      <w:caps/>
      <w:szCs w:val="20"/>
    </w:rPr>
  </w:style>
  <w:style w:type="character" w:customStyle="1" w:styleId="Legal5L1Char">
    <w:name w:val="Legal5_L1 Char"/>
    <w:basedOn w:val="DefaultParagraphFont"/>
    <w:link w:val="Legal5L1"/>
    <w:rsid w:val="007C43C1"/>
    <w:rPr>
      <w:rFonts w:ascii="Times New Roman" w:eastAsia="Times New Roman" w:hAnsi="Times New Roman" w:cs="Times New Roman"/>
      <w:b/>
      <w:caps/>
      <w:sz w:val="20"/>
      <w:szCs w:val="20"/>
      <w:lang w:val="en-CA"/>
    </w:rPr>
  </w:style>
  <w:style w:type="paragraph" w:customStyle="1" w:styleId="Legal5L2">
    <w:name w:val="Legal5_L2"/>
    <w:basedOn w:val="Legal5L1"/>
    <w:link w:val="Legal5L2Char"/>
    <w:rsid w:val="007C43C1"/>
    <w:pPr>
      <w:keepNext w:val="0"/>
      <w:numPr>
        <w:ilvl w:val="1"/>
      </w:numPr>
      <w:outlineLvl w:val="1"/>
    </w:pPr>
    <w:rPr>
      <w:b w:val="0"/>
      <w:caps w:val="0"/>
    </w:rPr>
  </w:style>
  <w:style w:type="character" w:customStyle="1" w:styleId="Legal5L2Char">
    <w:name w:val="Legal5_L2 Char"/>
    <w:basedOn w:val="DefaultParagraphFont"/>
    <w:link w:val="Legal5L2"/>
    <w:rsid w:val="007C43C1"/>
    <w:rPr>
      <w:rFonts w:ascii="Times New Roman" w:eastAsia="Times New Roman" w:hAnsi="Times New Roman" w:cs="Times New Roman"/>
      <w:sz w:val="20"/>
      <w:szCs w:val="20"/>
      <w:lang w:val="en-CA"/>
    </w:rPr>
  </w:style>
  <w:style w:type="paragraph" w:customStyle="1" w:styleId="Legal5L3">
    <w:name w:val="Legal5_L3"/>
    <w:basedOn w:val="Legal5L2"/>
    <w:link w:val="Legal5L3Char"/>
    <w:rsid w:val="007C43C1"/>
    <w:pPr>
      <w:numPr>
        <w:ilvl w:val="2"/>
      </w:numPr>
      <w:outlineLvl w:val="2"/>
    </w:pPr>
  </w:style>
  <w:style w:type="character" w:customStyle="1" w:styleId="Legal5L3Char">
    <w:name w:val="Legal5_L3 Char"/>
    <w:basedOn w:val="DefaultParagraphFont"/>
    <w:link w:val="Legal5L3"/>
    <w:rsid w:val="007C43C1"/>
    <w:rPr>
      <w:rFonts w:ascii="Times New Roman" w:eastAsia="Times New Roman" w:hAnsi="Times New Roman" w:cs="Times New Roman"/>
      <w:sz w:val="20"/>
      <w:szCs w:val="20"/>
      <w:lang w:val="en-CA"/>
    </w:rPr>
  </w:style>
  <w:style w:type="paragraph" w:customStyle="1" w:styleId="Legal5L4">
    <w:name w:val="Legal5_L4"/>
    <w:basedOn w:val="Legal5L3"/>
    <w:link w:val="Legal5L4Char"/>
    <w:rsid w:val="007C43C1"/>
    <w:pPr>
      <w:numPr>
        <w:ilvl w:val="3"/>
      </w:numPr>
      <w:outlineLvl w:val="3"/>
    </w:pPr>
  </w:style>
  <w:style w:type="character" w:customStyle="1" w:styleId="Legal5L4Char">
    <w:name w:val="Legal5_L4 Char"/>
    <w:basedOn w:val="DefaultParagraphFont"/>
    <w:link w:val="Legal5L4"/>
    <w:rsid w:val="007C43C1"/>
    <w:rPr>
      <w:rFonts w:ascii="Times New Roman" w:eastAsia="Times New Roman" w:hAnsi="Times New Roman" w:cs="Times New Roman"/>
      <w:sz w:val="20"/>
      <w:szCs w:val="20"/>
      <w:lang w:val="en-CA"/>
    </w:rPr>
  </w:style>
  <w:style w:type="paragraph" w:customStyle="1" w:styleId="Legal5L5">
    <w:name w:val="Legal5_L5"/>
    <w:basedOn w:val="Legal5L4"/>
    <w:link w:val="Legal5L5Char"/>
    <w:rsid w:val="007C43C1"/>
    <w:pPr>
      <w:numPr>
        <w:ilvl w:val="4"/>
      </w:numPr>
      <w:outlineLvl w:val="4"/>
    </w:pPr>
  </w:style>
  <w:style w:type="character" w:customStyle="1" w:styleId="Legal5L5Char">
    <w:name w:val="Legal5_L5 Char"/>
    <w:basedOn w:val="DefaultParagraphFont"/>
    <w:link w:val="Legal5L5"/>
    <w:rsid w:val="007C43C1"/>
    <w:rPr>
      <w:rFonts w:ascii="Times New Roman" w:eastAsia="Times New Roman" w:hAnsi="Times New Roman" w:cs="Times New Roman"/>
      <w:sz w:val="20"/>
      <w:szCs w:val="20"/>
      <w:lang w:val="en-CA"/>
    </w:rPr>
  </w:style>
  <w:style w:type="paragraph" w:customStyle="1" w:styleId="Legal5L6">
    <w:name w:val="Legal5_L6"/>
    <w:basedOn w:val="Legal5L5"/>
    <w:link w:val="Legal5L6Char"/>
    <w:rsid w:val="007C43C1"/>
    <w:pPr>
      <w:numPr>
        <w:ilvl w:val="5"/>
      </w:numPr>
      <w:outlineLvl w:val="5"/>
    </w:pPr>
  </w:style>
  <w:style w:type="character" w:customStyle="1" w:styleId="Legal5L6Char">
    <w:name w:val="Legal5_L6 Char"/>
    <w:basedOn w:val="DefaultParagraphFont"/>
    <w:link w:val="Legal5L6"/>
    <w:rsid w:val="007C43C1"/>
    <w:rPr>
      <w:rFonts w:ascii="Times New Roman" w:eastAsia="Times New Roman" w:hAnsi="Times New Roman" w:cs="Times New Roman"/>
      <w:sz w:val="20"/>
      <w:szCs w:val="20"/>
      <w:lang w:val="en-CA"/>
    </w:rPr>
  </w:style>
  <w:style w:type="paragraph" w:customStyle="1" w:styleId="Legal5L7">
    <w:name w:val="Legal5_L7"/>
    <w:basedOn w:val="Legal5L6"/>
    <w:link w:val="Legal5L7Char"/>
    <w:rsid w:val="007C43C1"/>
    <w:pPr>
      <w:numPr>
        <w:ilvl w:val="6"/>
      </w:numPr>
      <w:tabs>
        <w:tab w:val="num" w:pos="2880"/>
      </w:tabs>
      <w:outlineLvl w:val="6"/>
    </w:pPr>
  </w:style>
  <w:style w:type="character" w:customStyle="1" w:styleId="Legal5L7Char">
    <w:name w:val="Legal5_L7 Char"/>
    <w:basedOn w:val="DefaultParagraphFont"/>
    <w:link w:val="Legal5L7"/>
    <w:rsid w:val="007C43C1"/>
    <w:rPr>
      <w:rFonts w:ascii="Times New Roman" w:eastAsia="Times New Roman" w:hAnsi="Times New Roman" w:cs="Times New Roman"/>
      <w:sz w:val="20"/>
      <w:szCs w:val="20"/>
      <w:lang w:val="en-CA"/>
    </w:rPr>
  </w:style>
  <w:style w:type="paragraph" w:customStyle="1" w:styleId="Legal5L8">
    <w:name w:val="Legal5_L8"/>
    <w:basedOn w:val="Legal5L7"/>
    <w:link w:val="Legal5L8Char"/>
    <w:rsid w:val="007C43C1"/>
    <w:pPr>
      <w:numPr>
        <w:ilvl w:val="7"/>
      </w:numPr>
      <w:tabs>
        <w:tab w:val="num" w:pos="2880"/>
      </w:tabs>
      <w:outlineLvl w:val="7"/>
    </w:pPr>
  </w:style>
  <w:style w:type="character" w:customStyle="1" w:styleId="Legal5L8Char">
    <w:name w:val="Legal5_L8 Char"/>
    <w:basedOn w:val="DefaultParagraphFont"/>
    <w:link w:val="Legal5L8"/>
    <w:rsid w:val="007C43C1"/>
    <w:rPr>
      <w:rFonts w:ascii="Times New Roman" w:eastAsia="Times New Roman" w:hAnsi="Times New Roman" w:cs="Times New Roman"/>
      <w:sz w:val="20"/>
      <w:szCs w:val="20"/>
      <w:lang w:val="en-CA"/>
    </w:rPr>
  </w:style>
  <w:style w:type="character" w:customStyle="1" w:styleId="am">
    <w:name w:val="am"/>
    <w:basedOn w:val="DefaultParagraphFont"/>
    <w:rsid w:val="001A4742"/>
  </w:style>
  <w:style w:type="paragraph" w:customStyle="1" w:styleId="ar">
    <w:name w:val="ar"/>
    <w:basedOn w:val="Normal"/>
    <w:rsid w:val="001A4742"/>
    <w:pPr>
      <w:spacing w:before="100" w:beforeAutospacing="1" w:after="100" w:afterAutospacing="1"/>
    </w:pPr>
    <w:rPr>
      <w:sz w:val="24"/>
      <w:szCs w:val="24"/>
      <w:lang w:val="en-GB" w:eastAsia="en-GB"/>
    </w:rPr>
  </w:style>
  <w:style w:type="table" w:customStyle="1" w:styleId="a">
    <w:name w:val="a"/>
    <w:basedOn w:val="TableNormal"/>
    <w:rsid w:val="001A4742"/>
    <w:pPr>
      <w:spacing w:before="60" w:after="0" w:line="240" w:lineRule="auto"/>
    </w:pPr>
    <w:rPr>
      <w:rFonts w:ascii="Arial" w:eastAsia="Arial" w:hAnsi="Arial" w:cs="Arial"/>
      <w:color w:val="A44E00"/>
      <w:sz w:val="20"/>
      <w:szCs w:val="20"/>
      <w:lang w:val="en-GB"/>
    </w:rPr>
    <w:tblPr>
      <w:tblStyleRowBandSize w:val="1"/>
      <w:tblStyleColBandSize w:val="1"/>
    </w:tblPr>
  </w:style>
  <w:style w:type="table" w:styleId="TableGridLight">
    <w:name w:val="Grid Table Light"/>
    <w:basedOn w:val="TableNormal"/>
    <w:uiPriority w:val="40"/>
    <w:rsid w:val="00713E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13E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9073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rospectusCont1">
    <w:name w:val="Prospectus Cont 1"/>
    <w:basedOn w:val="Normal"/>
    <w:rsid w:val="005C6077"/>
    <w:pPr>
      <w:spacing w:after="240"/>
    </w:pPr>
    <w:rPr>
      <w:szCs w:val="20"/>
    </w:rPr>
  </w:style>
  <w:style w:type="paragraph" w:customStyle="1" w:styleId="ProspectusCont2">
    <w:name w:val="Prospectus Cont 2"/>
    <w:basedOn w:val="ProspectusCont1"/>
    <w:rsid w:val="005C6077"/>
  </w:style>
  <w:style w:type="paragraph" w:customStyle="1" w:styleId="ProspectusCont3">
    <w:name w:val="Prospectus Cont 3"/>
    <w:basedOn w:val="ProspectusCont2"/>
    <w:rsid w:val="005C6077"/>
  </w:style>
  <w:style w:type="paragraph" w:customStyle="1" w:styleId="ProspectusCont4">
    <w:name w:val="Prospectus Cont 4"/>
    <w:basedOn w:val="ProspectusCont3"/>
    <w:rsid w:val="005C6077"/>
    <w:pPr>
      <w:ind w:left="2880"/>
    </w:pPr>
  </w:style>
  <w:style w:type="paragraph" w:customStyle="1" w:styleId="ProspectusCont5">
    <w:name w:val="Prospectus Cont 5"/>
    <w:basedOn w:val="ProspectusCont4"/>
    <w:rsid w:val="005C6077"/>
    <w:pPr>
      <w:ind w:left="3600"/>
    </w:pPr>
  </w:style>
  <w:style w:type="paragraph" w:customStyle="1" w:styleId="ProspectusCont6">
    <w:name w:val="Prospectus Cont 6"/>
    <w:basedOn w:val="ProspectusCont5"/>
    <w:rsid w:val="005C6077"/>
    <w:pPr>
      <w:ind w:left="4320"/>
      <w:jc w:val="left"/>
    </w:pPr>
  </w:style>
  <w:style w:type="paragraph" w:customStyle="1" w:styleId="ProspectusCont7">
    <w:name w:val="Prospectus Cont 7"/>
    <w:basedOn w:val="ProspectusCont6"/>
    <w:rsid w:val="005C6077"/>
    <w:pPr>
      <w:ind w:left="5040"/>
      <w:jc w:val="both"/>
    </w:pPr>
  </w:style>
  <w:style w:type="paragraph" w:customStyle="1" w:styleId="ProspectusCont8">
    <w:name w:val="Prospectus Cont 8"/>
    <w:basedOn w:val="ProspectusCont7"/>
    <w:rsid w:val="005C6077"/>
    <w:pPr>
      <w:ind w:left="5760"/>
    </w:pPr>
  </w:style>
  <w:style w:type="paragraph" w:customStyle="1" w:styleId="ProspectusCont9">
    <w:name w:val="Prospectus Cont 9"/>
    <w:basedOn w:val="ProspectusCont8"/>
    <w:rsid w:val="005C6077"/>
    <w:pPr>
      <w:ind w:left="6480"/>
    </w:pPr>
  </w:style>
  <w:style w:type="paragraph" w:customStyle="1" w:styleId="BodyText-LI">
    <w:name w:val="Body Text - LI"/>
    <w:basedOn w:val="Normal"/>
    <w:qFormat/>
    <w:rsid w:val="00D80C54"/>
    <w:pPr>
      <w:keepNext/>
      <w:spacing w:after="240"/>
    </w:pPr>
    <w:rPr>
      <w:i/>
      <w:iCs/>
    </w:rPr>
  </w:style>
  <w:style w:type="paragraph" w:customStyle="1" w:styleId="SourceInformationTxt">
    <w:name w:val="Source Information Txt"/>
    <w:basedOn w:val="Normal"/>
    <w:qFormat/>
    <w:rsid w:val="00D80C54"/>
    <w:pPr>
      <w:spacing w:after="240"/>
      <w:ind w:firstLine="720"/>
    </w:pPr>
    <w:rPr>
      <w:i/>
    </w:rPr>
  </w:style>
  <w:style w:type="paragraph" w:customStyle="1" w:styleId="TblTxt-Basic">
    <w:name w:val="TblTxt - Basic"/>
    <w:basedOn w:val="Normal"/>
    <w:qFormat/>
    <w:rsid w:val="00FF0CF5"/>
    <w:pPr>
      <w:spacing w:before="40" w:after="40"/>
      <w:jc w:val="left"/>
    </w:pPr>
    <w:rPr>
      <w:bCs/>
    </w:rPr>
  </w:style>
  <w:style w:type="paragraph" w:customStyle="1" w:styleId="TblTxt-Notes-TitleTxt-LB">
    <w:name w:val="TblTxt - Notes - Title Txt - LB"/>
    <w:basedOn w:val="Normal"/>
    <w:qFormat/>
    <w:rsid w:val="00D76D7B"/>
    <w:pPr>
      <w:spacing w:before="120" w:after="120"/>
    </w:pPr>
    <w:rPr>
      <w:b/>
      <w:sz w:val="16"/>
      <w:lang w:val="en-US"/>
    </w:rPr>
  </w:style>
  <w:style w:type="paragraph" w:customStyle="1" w:styleId="TblTxt-Notes-NumberedTxt">
    <w:name w:val="TblTxt - Notes - Numbered Txt"/>
    <w:basedOn w:val="Normal"/>
    <w:qFormat/>
    <w:rsid w:val="000B25DE"/>
    <w:pPr>
      <w:spacing w:after="240"/>
      <w:ind w:left="720" w:hanging="447"/>
      <w:contextualSpacing/>
      <w:jc w:val="left"/>
    </w:pPr>
    <w:rPr>
      <w:rFonts w:eastAsiaTheme="minorHAnsi"/>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5817">
      <w:bodyDiv w:val="1"/>
      <w:marLeft w:val="0"/>
      <w:marRight w:val="0"/>
      <w:marTop w:val="0"/>
      <w:marBottom w:val="0"/>
      <w:divBdr>
        <w:top w:val="none" w:sz="0" w:space="0" w:color="auto"/>
        <w:left w:val="none" w:sz="0" w:space="0" w:color="auto"/>
        <w:bottom w:val="none" w:sz="0" w:space="0" w:color="auto"/>
        <w:right w:val="none" w:sz="0" w:space="0" w:color="auto"/>
      </w:divBdr>
    </w:div>
    <w:div w:id="14898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sedarplus.ca/" TargetMode="External"/><Relationship Id="rId26" Type="http://schemas.openxmlformats.org/officeDocument/2006/relationships/hyperlink" Target="http://www.sedarplus.ca/"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edarplus.ca/" TargetMode="External"/><Relationship Id="rId25" Type="http://schemas.openxmlformats.org/officeDocument/2006/relationships/hyperlink" Target="http://www.amaroqmineral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maroqminerals.com/" TargetMode="External"/><Relationship Id="rId20" Type="http://schemas.openxmlformats.org/officeDocument/2006/relationships/image" Target="media/image3.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darplus.c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amaroqminerals.com/responsibility/" TargetMode="External"/><Relationship Id="rId27" Type="http://schemas.openxmlformats.org/officeDocument/2006/relationships/hyperlink" Target="http://www.sedarplus.ca/" TargetMode="Externa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92E129C6B0684CAA95F8D4538162F3" ma:contentTypeVersion="15" ma:contentTypeDescription="Create a new document." ma:contentTypeScope="" ma:versionID="c96bad08ed5c36f3f454d143577c4117">
  <xs:schema xmlns:xsd="http://www.w3.org/2001/XMLSchema" xmlns:xs="http://www.w3.org/2001/XMLSchema" xmlns:p="http://schemas.microsoft.com/office/2006/metadata/properties" xmlns:ns2="f918710d-3c0d-459f-ac07-0514fbfaf85b" xmlns:ns3="df267d85-7ca5-4769-8172-2888cb98f9bd" targetNamespace="http://schemas.microsoft.com/office/2006/metadata/properties" ma:root="true" ma:fieldsID="c0659cf9446d1bef64c20a12bb852ac8" ns2:_="" ns3:_="">
    <xs:import namespace="f918710d-3c0d-459f-ac07-0514fbfaf85b"/>
    <xs:import namespace="df267d85-7ca5-4769-8172-2888cb98f9bd"/>
    <xs:element name="properties">
      <xs:complexType>
        <xs:sequence>
          <xs:element name="documentManagement">
            <xs:complexType>
              <xs:all>
                <xs:element ref="ns2:SharedWithUsers" minOccurs="0"/>
                <xs:element ref="ns2:SharedWithDetails" minOccurs="0"/>
                <xs:element ref="ns3:MediaServiceMetadata" minOccurs="0"/>
                <xs:element ref="ns3:MediaServiceFastMetadata" minOccurs="0"/>
                <xs:element ref="ns3:lcf76f155ced4ddcb4097134ff3c332f" minOccurs="0"/>
                <xs:element ref="ns2:TaxCatchAll" minOccurs="0"/>
                <xs:element ref="ns3:MediaServiceDateTaken" minOccurs="0"/>
                <xs:element ref="ns3:MediaServiceLocation" minOccurs="0"/>
                <xs:element ref="ns3:MediaServiceGenerationTime" minOccurs="0"/>
                <xs:element ref="ns3:MediaServiceEventHashCode" minOccurs="0"/>
                <xs:element ref="ns3:MediaServiceOCR" minOccurs="0"/>
                <xs:element ref="ns3:MediaLengthInSeconds" minOccurs="0"/>
                <xs:element ref="ns3:MediaServiceObjectDetectorVersions" minOccurs="0"/>
                <xs:element ref="ns3:MediaServiceSearchProperties"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f918710d-3c0d-459f-ac07-0514fbfaf85b" elementFormDefault="qualified">
    <xs:import namespace="http://schemas.microsoft.com/office/2006/documentManagement/types"/>
    <xs:import namespace="http://schemas.microsoft.com/office/infopath/2007/PartnerControls"/>
    <xs:element name="SharedWithUsers" ma:index="8" nillable="true" ma:displayName="Shared With" ma:internalName="SharedWithUsers" ma:readOnly="true">
      <xs:complexType>
        <xs:complexContent>
          <xs:extension base="dms:UserMulti">
            <xs:sequence>
              <xs:element name="UserInfo" minOccurs="0" maxOccurs="unbounded">
                <xs:complexType>
                  <xs:sequence>
                    <xs:element name="DisplayName" type="xsd:string" minOccurs="0"/>
                    <xs:element name="AccountId" type="dms:UserId" minOccurs="0" nillable="true"/>
                    <xs:element name="AccountType" type="xsd:string" minOccurs="0"/>
                  </xs:sequence>
                </xs:complexType>
              </xs:element>
            </xs:sequence>
          </xs:extension>
        </xs:complexContent>
      </xs:complexType>
    </xs:element>
    <xs:element name="SharedWithDetails" ma:index="9" nillable="true" ma:displayName="Shared With Details" ma:internalName="SharedWithDetails" ma:readOnly="true">
      <xs:simpleType>
        <xs:restriction base="dms:Note">
          <xs:maxLength value="255"/>
        </xs:restriction>
      </xs:simpleType>
    </xs:element>
    <xs:element name="TaxCatchAll" ma:index="14" nillable="true" ma:displayName="Taxonomy Catch All Column" ma:hidden="true" ma:list="{9d0d0d79-87b2-45c4-bdbc-db0eb7ef63cf}" ma:internalName="TaxCatchAll" ma:showField="CatchAllData" ma:web="f918710d-3c0d-459f-ac07-0514fbfaf85b">
      <xs:complexType>
        <xs:complexContent>
          <xs:extension base="dms:MultiChoiceLookup">
            <xs:sequence>
              <xs:element name="Value" type="dms:Lookup" maxOccurs="unbounded" minOccurs="0" nillable="true"/>
            </xs:sequence>
          </xs:extension>
        </xs:complexContent>
      </xs:complexType>
    </xs:element>
  </xs:schema>
  <xs:schema xmlns:xsd="http://www.w3.org/2001/XMLSchema" xmlns:xs="http://www.w3.org/2001/XMLSchema" xmlns:dms="http://schemas.microsoft.com/office/2006/documentManagement/types" xmlns:pc="http://schemas.microsoft.com/office/infopath/2007/PartnerControls" targetNamespace="df267d85-7ca5-4769-8172-2888cb98f9bd" elementFormDefault="qualified">
    <xs:import namespace="http://schemas.microsoft.com/office/2006/documentManagement/types"/>
    <xs:import namespace="http://schemas.microsoft.com/office/infopath/2007/PartnerControls"/>
    <xs:element name="MediaServiceMetadata" ma:index="10" nillable="true" ma:displayName="MediaServiceMetadata" ma:hidden="true" ma:internalName="MediaServiceMetadata" ma:readOnly="true">
      <xs:simpleType>
        <xs:restriction base="dms:Note"/>
      </xs:simpleType>
    </xs:element>
    <xs:element name="MediaServiceFastMetadata" ma:index="11" nillable="true" ma:displayName="MediaServiceFastMetadata" ma:hidden="true" ma:internalName="MediaServiceFastMetadata" ma:readOnly="true">
      <xs:simpleType>
        <xs:restriction base="dms:Note"/>
      </xs:simpleType>
    </xs:element>
    <xs: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727972-c968-4629-9e74-a597ca639dbd" ma:termSetId="09814cd3-568e-fe90-9814-8d621ff8fb84" ma:anchorId="fba54fb3-c3e1-fe81-a776-ca4b69148c4d" ma:open="true" ma:isKeyword="false">
      <xs:complexType>
        <xs:sequence>
          <xs:element ref="pc:Terms" minOccurs="0" maxOccurs="1"/>
        </xs:sequence>
      </xs:complexType>
    </xs:element>
    <xs:element name="MediaServiceDateTaken" ma:index="15" nillable="true" ma:displayName="MediaServiceDateTaken" ma:hidden="true" ma:indexed="true" ma:internalName="MediaServiceDateTaken" ma:readOnly="true">
      <xs:simpleType>
        <xs:restriction base="dms:Text"/>
      </xs:simpleType>
    </xs:element>
    <xs:element name="MediaServiceLocation" ma:index="16" nillable="true" ma:displayName="Location" ma:indexed="true" ma:internalName="MediaServiceLocation" ma:readOnly="true">
      <xs:simpleType>
        <xs:restriction base="dms:Text"/>
      </xs:simpleType>
    </xs:element>
    <xs:element name="MediaServiceGenerationTime" ma:index="17" nillable="true" ma:displayName="MediaServiceGenerationTime" ma:hidden="true" ma:internalName="MediaServiceGenerationTime" ma:readOnly="true">
      <xs:simpleType>
        <xs:restriction base="dms:Text"/>
      </xs:simpleType>
    </xs:element>
    <xs:element name="MediaServiceEventHashCode" ma:index="18" nillable="true" ma:displayName="MediaServiceEventHashCode" ma:hidden="true" ma:internalName="MediaServiceEventHashCode" ma:readOnly="true">
      <xs:simpleType>
        <xs:restriction base="dms:Text"/>
      </xs:simpleType>
    </xs:element>
    <xs:element name="MediaServiceOCR" ma:index="19" nillable="true" ma:displayName="Extracted Text" ma:internalName="MediaServiceOCR" ma:readOnly="true">
      <xs:simpleType>
        <xs:restriction base="dms:Note">
          <xs:maxLength value="255"/>
        </xs:restriction>
      </xs:simpleType>
    </xs:element>
    <xs:element name="MediaLengthInSeconds" ma:index="20" nillable="true" ma:displayName="MediaLengthInSeconds" ma:hidden="true" ma:internalName="MediaLengthInSeconds" ma:readOnly="true">
      <xs:simpleType>
        <xs:restriction base="dms:Unknown"/>
      </xs:simpleType>
    </xs:element>
    <xs:element name="MediaServiceObjectDetectorVersions" ma:index="21" nillable="true" ma:displayName="MediaServiceObjectDetectorVersions" ma:description="" ma:hidden="true" ma:indexed="true" ma:internalName="MediaServiceObjectDetectorVersions" ma:readOnly="true">
      <xs:simpleType>
        <xs:restriction base="dms:Text"/>
      </xs:simpleType>
    </xs:element>
    <xs:element name="MediaServiceSearchProperties" ma:index="22" nillable="true" ma:displayName="MediaServiceSearchProperties" ma:hidden="true" ma:internalName="MediaServiceSearchProperties" ma:readOnly="true">
      <xs:simpleType>
        <xs:restriction base="dms:Note"/>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267d85-7ca5-4769-8172-2888cb98f9bd">
      <Terms xmlns="http://schemas.microsoft.com/office/infopath/2007/PartnerControls"/>
    </lcf76f155ced4ddcb4097134ff3c332f>
    <TaxCatchAll xmlns="f918710d-3c0d-459f-ac07-0514fbfaf85b" xsi:nil="true"/>
    <SharedWithUsers xmlns="f918710d-3c0d-459f-ac07-0514fbfaf85b">
      <UserInfo>
        <DisplayName/>
        <AccountId xsi:nil="true"/>
        <AccountType/>
      </UserInfo>
    </SharedWithUsers>
    <MediaLengthInSeconds xmlns="df267d85-7ca5-4769-8172-2888cb98f9b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331ADD-3018-4DA2-B120-6338AEE5A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8710d-3c0d-459f-ac07-0514fbfaf85b"/>
    <ds:schemaRef ds:uri="df267d85-7ca5-4769-8172-2888cb98f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04AF00-9787-47E2-B35A-E54929F6DB72}">
  <ds:schemaRefs>
    <ds:schemaRef ds:uri="http://schemas.microsoft.com/office/2006/metadata/properties"/>
    <ds:schemaRef ds:uri="http://schemas.microsoft.com/office/infopath/2007/PartnerControls"/>
    <ds:schemaRef ds:uri="df267d85-7ca5-4769-8172-2888cb98f9bd"/>
    <ds:schemaRef ds:uri="f918710d-3c0d-459f-ac07-0514fbfaf85b"/>
  </ds:schemaRefs>
</ds:datastoreItem>
</file>

<file path=customXml/itemProps3.xml><?xml version="1.0" encoding="utf-8"?>
<ds:datastoreItem xmlns:ds="http://schemas.openxmlformats.org/officeDocument/2006/customXml" ds:itemID="{B6C21362-769F-472E-BA77-2E4231D0C005}">
  <ds:schemaRefs>
    <ds:schemaRef ds:uri="http://schemas.openxmlformats.org/officeDocument/2006/bibliography"/>
  </ds:schemaRefs>
</ds:datastoreItem>
</file>

<file path=customXml/itemProps4.xml><?xml version="1.0" encoding="utf-8"?>
<ds:datastoreItem xmlns:ds="http://schemas.openxmlformats.org/officeDocument/2006/customXml" ds:itemID="{57C61DF1-89C8-4C38-8B73-6606198D50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32524</Words>
  <Characters>185392</Characters>
  <Application>Microsoft Office Word</Application>
  <DocSecurity>0</DocSecurity>
  <Lines>1544</Lines>
  <Paragraphs>434</Paragraphs>
  <ScaleCrop>false</ScaleCrop>
  <Company> </Company>
  <LinksUpToDate>false</LinksUpToDate>
  <CharactersWithSpaces>217482</CharactersWithSpaces>
  <SharedDoc>false</SharedDoc>
  <HLinks>
    <vt:vector size="156" baseType="variant">
      <vt:variant>
        <vt:i4>4194325</vt:i4>
      </vt:variant>
      <vt:variant>
        <vt:i4>144</vt:i4>
      </vt:variant>
      <vt:variant>
        <vt:i4>0</vt:i4>
      </vt:variant>
      <vt:variant>
        <vt:i4>5</vt:i4>
      </vt:variant>
      <vt:variant>
        <vt:lpwstr>http://www.sedar.com/</vt:lpwstr>
      </vt:variant>
      <vt:variant>
        <vt:lpwstr/>
      </vt:variant>
      <vt:variant>
        <vt:i4>4194325</vt:i4>
      </vt:variant>
      <vt:variant>
        <vt:i4>141</vt:i4>
      </vt:variant>
      <vt:variant>
        <vt:i4>0</vt:i4>
      </vt:variant>
      <vt:variant>
        <vt:i4>5</vt:i4>
      </vt:variant>
      <vt:variant>
        <vt:lpwstr>http://www.sedar.com/</vt:lpwstr>
      </vt:variant>
      <vt:variant>
        <vt:lpwstr/>
      </vt:variant>
      <vt:variant>
        <vt:i4>4194325</vt:i4>
      </vt:variant>
      <vt:variant>
        <vt:i4>138</vt:i4>
      </vt:variant>
      <vt:variant>
        <vt:i4>0</vt:i4>
      </vt:variant>
      <vt:variant>
        <vt:i4>5</vt:i4>
      </vt:variant>
      <vt:variant>
        <vt:lpwstr>http://www.sedar.com/</vt:lpwstr>
      </vt:variant>
      <vt:variant>
        <vt:lpwstr/>
      </vt:variant>
      <vt:variant>
        <vt:i4>3604607</vt:i4>
      </vt:variant>
      <vt:variant>
        <vt:i4>135</vt:i4>
      </vt:variant>
      <vt:variant>
        <vt:i4>0</vt:i4>
      </vt:variant>
      <vt:variant>
        <vt:i4>5</vt:i4>
      </vt:variant>
      <vt:variant>
        <vt:lpwstr>http://www.aexgold.com/</vt:lpwstr>
      </vt:variant>
      <vt:variant>
        <vt:lpwstr/>
      </vt:variant>
      <vt:variant>
        <vt:i4>1245237</vt:i4>
      </vt:variant>
      <vt:variant>
        <vt:i4>128</vt:i4>
      </vt:variant>
      <vt:variant>
        <vt:i4>0</vt:i4>
      </vt:variant>
      <vt:variant>
        <vt:i4>5</vt:i4>
      </vt:variant>
      <vt:variant>
        <vt:lpwstr/>
      </vt:variant>
      <vt:variant>
        <vt:lpwstr>_Toc42810295</vt:lpwstr>
      </vt:variant>
      <vt:variant>
        <vt:i4>1179701</vt:i4>
      </vt:variant>
      <vt:variant>
        <vt:i4>122</vt:i4>
      </vt:variant>
      <vt:variant>
        <vt:i4>0</vt:i4>
      </vt:variant>
      <vt:variant>
        <vt:i4>5</vt:i4>
      </vt:variant>
      <vt:variant>
        <vt:lpwstr/>
      </vt:variant>
      <vt:variant>
        <vt:lpwstr>_Toc42810294</vt:lpwstr>
      </vt:variant>
      <vt:variant>
        <vt:i4>1376309</vt:i4>
      </vt:variant>
      <vt:variant>
        <vt:i4>116</vt:i4>
      </vt:variant>
      <vt:variant>
        <vt:i4>0</vt:i4>
      </vt:variant>
      <vt:variant>
        <vt:i4>5</vt:i4>
      </vt:variant>
      <vt:variant>
        <vt:lpwstr/>
      </vt:variant>
      <vt:variant>
        <vt:lpwstr>_Toc42810293</vt:lpwstr>
      </vt:variant>
      <vt:variant>
        <vt:i4>1310773</vt:i4>
      </vt:variant>
      <vt:variant>
        <vt:i4>110</vt:i4>
      </vt:variant>
      <vt:variant>
        <vt:i4>0</vt:i4>
      </vt:variant>
      <vt:variant>
        <vt:i4>5</vt:i4>
      </vt:variant>
      <vt:variant>
        <vt:lpwstr/>
      </vt:variant>
      <vt:variant>
        <vt:lpwstr>_Toc42810292</vt:lpwstr>
      </vt:variant>
      <vt:variant>
        <vt:i4>1507381</vt:i4>
      </vt:variant>
      <vt:variant>
        <vt:i4>104</vt:i4>
      </vt:variant>
      <vt:variant>
        <vt:i4>0</vt:i4>
      </vt:variant>
      <vt:variant>
        <vt:i4>5</vt:i4>
      </vt:variant>
      <vt:variant>
        <vt:lpwstr/>
      </vt:variant>
      <vt:variant>
        <vt:lpwstr>_Toc42810291</vt:lpwstr>
      </vt:variant>
      <vt:variant>
        <vt:i4>1441845</vt:i4>
      </vt:variant>
      <vt:variant>
        <vt:i4>98</vt:i4>
      </vt:variant>
      <vt:variant>
        <vt:i4>0</vt:i4>
      </vt:variant>
      <vt:variant>
        <vt:i4>5</vt:i4>
      </vt:variant>
      <vt:variant>
        <vt:lpwstr/>
      </vt:variant>
      <vt:variant>
        <vt:lpwstr>_Toc42810290</vt:lpwstr>
      </vt:variant>
      <vt:variant>
        <vt:i4>2031668</vt:i4>
      </vt:variant>
      <vt:variant>
        <vt:i4>92</vt:i4>
      </vt:variant>
      <vt:variant>
        <vt:i4>0</vt:i4>
      </vt:variant>
      <vt:variant>
        <vt:i4>5</vt:i4>
      </vt:variant>
      <vt:variant>
        <vt:lpwstr/>
      </vt:variant>
      <vt:variant>
        <vt:lpwstr>_Toc42810289</vt:lpwstr>
      </vt:variant>
      <vt:variant>
        <vt:i4>1966132</vt:i4>
      </vt:variant>
      <vt:variant>
        <vt:i4>86</vt:i4>
      </vt:variant>
      <vt:variant>
        <vt:i4>0</vt:i4>
      </vt:variant>
      <vt:variant>
        <vt:i4>5</vt:i4>
      </vt:variant>
      <vt:variant>
        <vt:lpwstr/>
      </vt:variant>
      <vt:variant>
        <vt:lpwstr>_Toc42810288</vt:lpwstr>
      </vt:variant>
      <vt:variant>
        <vt:i4>1114164</vt:i4>
      </vt:variant>
      <vt:variant>
        <vt:i4>80</vt:i4>
      </vt:variant>
      <vt:variant>
        <vt:i4>0</vt:i4>
      </vt:variant>
      <vt:variant>
        <vt:i4>5</vt:i4>
      </vt:variant>
      <vt:variant>
        <vt:lpwstr/>
      </vt:variant>
      <vt:variant>
        <vt:lpwstr>_Toc42810287</vt:lpwstr>
      </vt:variant>
      <vt:variant>
        <vt:i4>1048628</vt:i4>
      </vt:variant>
      <vt:variant>
        <vt:i4>74</vt:i4>
      </vt:variant>
      <vt:variant>
        <vt:i4>0</vt:i4>
      </vt:variant>
      <vt:variant>
        <vt:i4>5</vt:i4>
      </vt:variant>
      <vt:variant>
        <vt:lpwstr/>
      </vt:variant>
      <vt:variant>
        <vt:lpwstr>_Toc42810286</vt:lpwstr>
      </vt:variant>
      <vt:variant>
        <vt:i4>1245236</vt:i4>
      </vt:variant>
      <vt:variant>
        <vt:i4>68</vt:i4>
      </vt:variant>
      <vt:variant>
        <vt:i4>0</vt:i4>
      </vt:variant>
      <vt:variant>
        <vt:i4>5</vt:i4>
      </vt:variant>
      <vt:variant>
        <vt:lpwstr/>
      </vt:variant>
      <vt:variant>
        <vt:lpwstr>_Toc42810285</vt:lpwstr>
      </vt:variant>
      <vt:variant>
        <vt:i4>1179700</vt:i4>
      </vt:variant>
      <vt:variant>
        <vt:i4>62</vt:i4>
      </vt:variant>
      <vt:variant>
        <vt:i4>0</vt:i4>
      </vt:variant>
      <vt:variant>
        <vt:i4>5</vt:i4>
      </vt:variant>
      <vt:variant>
        <vt:lpwstr/>
      </vt:variant>
      <vt:variant>
        <vt:lpwstr>_Toc42810284</vt:lpwstr>
      </vt:variant>
      <vt:variant>
        <vt:i4>1376308</vt:i4>
      </vt:variant>
      <vt:variant>
        <vt:i4>56</vt:i4>
      </vt:variant>
      <vt:variant>
        <vt:i4>0</vt:i4>
      </vt:variant>
      <vt:variant>
        <vt:i4>5</vt:i4>
      </vt:variant>
      <vt:variant>
        <vt:lpwstr/>
      </vt:variant>
      <vt:variant>
        <vt:lpwstr>_Toc42810283</vt:lpwstr>
      </vt:variant>
      <vt:variant>
        <vt:i4>1310772</vt:i4>
      </vt:variant>
      <vt:variant>
        <vt:i4>50</vt:i4>
      </vt:variant>
      <vt:variant>
        <vt:i4>0</vt:i4>
      </vt:variant>
      <vt:variant>
        <vt:i4>5</vt:i4>
      </vt:variant>
      <vt:variant>
        <vt:lpwstr/>
      </vt:variant>
      <vt:variant>
        <vt:lpwstr>_Toc42810282</vt:lpwstr>
      </vt:variant>
      <vt:variant>
        <vt:i4>1507380</vt:i4>
      </vt:variant>
      <vt:variant>
        <vt:i4>44</vt:i4>
      </vt:variant>
      <vt:variant>
        <vt:i4>0</vt:i4>
      </vt:variant>
      <vt:variant>
        <vt:i4>5</vt:i4>
      </vt:variant>
      <vt:variant>
        <vt:lpwstr/>
      </vt:variant>
      <vt:variant>
        <vt:lpwstr>_Toc42810281</vt:lpwstr>
      </vt:variant>
      <vt:variant>
        <vt:i4>1441844</vt:i4>
      </vt:variant>
      <vt:variant>
        <vt:i4>38</vt:i4>
      </vt:variant>
      <vt:variant>
        <vt:i4>0</vt:i4>
      </vt:variant>
      <vt:variant>
        <vt:i4>5</vt:i4>
      </vt:variant>
      <vt:variant>
        <vt:lpwstr/>
      </vt:variant>
      <vt:variant>
        <vt:lpwstr>_Toc42810280</vt:lpwstr>
      </vt:variant>
      <vt:variant>
        <vt:i4>2031675</vt:i4>
      </vt:variant>
      <vt:variant>
        <vt:i4>32</vt:i4>
      </vt:variant>
      <vt:variant>
        <vt:i4>0</vt:i4>
      </vt:variant>
      <vt:variant>
        <vt:i4>5</vt:i4>
      </vt:variant>
      <vt:variant>
        <vt:lpwstr/>
      </vt:variant>
      <vt:variant>
        <vt:lpwstr>_Toc42810279</vt:lpwstr>
      </vt:variant>
      <vt:variant>
        <vt:i4>1966139</vt:i4>
      </vt:variant>
      <vt:variant>
        <vt:i4>26</vt:i4>
      </vt:variant>
      <vt:variant>
        <vt:i4>0</vt:i4>
      </vt:variant>
      <vt:variant>
        <vt:i4>5</vt:i4>
      </vt:variant>
      <vt:variant>
        <vt:lpwstr/>
      </vt:variant>
      <vt:variant>
        <vt:lpwstr>_Toc42810278</vt:lpwstr>
      </vt:variant>
      <vt:variant>
        <vt:i4>1114171</vt:i4>
      </vt:variant>
      <vt:variant>
        <vt:i4>20</vt:i4>
      </vt:variant>
      <vt:variant>
        <vt:i4>0</vt:i4>
      </vt:variant>
      <vt:variant>
        <vt:i4>5</vt:i4>
      </vt:variant>
      <vt:variant>
        <vt:lpwstr/>
      </vt:variant>
      <vt:variant>
        <vt:lpwstr>_Toc42810277</vt:lpwstr>
      </vt:variant>
      <vt:variant>
        <vt:i4>1048635</vt:i4>
      </vt:variant>
      <vt:variant>
        <vt:i4>14</vt:i4>
      </vt:variant>
      <vt:variant>
        <vt:i4>0</vt:i4>
      </vt:variant>
      <vt:variant>
        <vt:i4>5</vt:i4>
      </vt:variant>
      <vt:variant>
        <vt:lpwstr/>
      </vt:variant>
      <vt:variant>
        <vt:lpwstr>_Toc42810276</vt:lpwstr>
      </vt:variant>
      <vt:variant>
        <vt:i4>1245243</vt:i4>
      </vt:variant>
      <vt:variant>
        <vt:i4>8</vt:i4>
      </vt:variant>
      <vt:variant>
        <vt:i4>0</vt:i4>
      </vt:variant>
      <vt:variant>
        <vt:i4>5</vt:i4>
      </vt:variant>
      <vt:variant>
        <vt:lpwstr/>
      </vt:variant>
      <vt:variant>
        <vt:lpwstr>_Toc42810275</vt:lpwstr>
      </vt:variant>
      <vt:variant>
        <vt:i4>1179707</vt:i4>
      </vt:variant>
      <vt:variant>
        <vt:i4>2</vt:i4>
      </vt:variant>
      <vt:variant>
        <vt:i4>0</vt:i4>
      </vt:variant>
      <vt:variant>
        <vt:i4>5</vt:i4>
      </vt:variant>
      <vt:variant>
        <vt:lpwstr/>
      </vt:variant>
      <vt:variant>
        <vt:lpwstr>_Toc42810274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Ilya Gadzhiev</cp:lastModifiedBy>
  <cp:revision>2</cp:revision>
  <dcterms:created xsi:type="dcterms:W3CDTF">1900-01-01T05:00:00Z</dcterms:created>
  <dcterms:modified xsi:type="dcterms:W3CDTF">2024-05-27T10:35:00Z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