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D761" w14:textId="3EFDB617" w:rsidR="002C10E0" w:rsidRPr="00F56BB7" w:rsidRDefault="00B5040D" w:rsidP="00915B13">
      <w:pPr>
        <w:spacing w:after="120" w:line="240" w:lineRule="auto"/>
        <w:jc w:val="center"/>
        <w:rPr>
          <w:rFonts w:ascii="Arial" w:hAnsi="Arial" w:cs="Arial"/>
          <w:b/>
          <w:color w:val="323E4F" w:themeColor="text2" w:themeShade="BF"/>
          <w:sz w:val="32"/>
          <w:szCs w:val="32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</w:rPr>
        <w:t>Miner at</w:t>
      </w:r>
      <w:r w:rsidR="00915B13" w:rsidRPr="00F56BB7"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 </w:t>
      </w:r>
      <w:r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Underground </w:t>
      </w:r>
      <w:r w:rsidR="00915B13" w:rsidRPr="00F56BB7"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Gold Mine </w:t>
      </w:r>
      <w:r w:rsidR="00D820E4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[</w:t>
      </w:r>
      <w:r w:rsidR="00F56BB7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REF</w:t>
      </w:r>
      <w:r w:rsid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:</w:t>
      </w:r>
      <w:r w:rsidR="00F56BB7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 xml:space="preserve"> </w:t>
      </w:r>
      <w:r>
        <w:rPr>
          <w:rFonts w:ascii="Arial" w:hAnsi="Arial" w:cs="Arial"/>
          <w:bCs/>
          <w:color w:val="323E4F" w:themeColor="text2" w:themeShade="BF"/>
          <w:sz w:val="32"/>
          <w:szCs w:val="32"/>
        </w:rPr>
        <w:t>M</w:t>
      </w:r>
      <w:r w:rsidR="004E18FA">
        <w:rPr>
          <w:rFonts w:ascii="Arial" w:hAnsi="Arial" w:cs="Arial"/>
          <w:bCs/>
          <w:color w:val="323E4F" w:themeColor="text2" w:themeShade="BF"/>
          <w:sz w:val="32"/>
          <w:szCs w:val="32"/>
        </w:rPr>
        <w:t>UG</w:t>
      </w:r>
      <w:r>
        <w:rPr>
          <w:rFonts w:ascii="Arial" w:hAnsi="Arial" w:cs="Arial"/>
          <w:bCs/>
          <w:color w:val="323E4F" w:themeColor="text2" w:themeShade="BF"/>
          <w:sz w:val="32"/>
          <w:szCs w:val="32"/>
        </w:rPr>
        <w:t>MINER</w:t>
      </w:r>
      <w:r w:rsidR="00F56BB7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]</w:t>
      </w:r>
    </w:p>
    <w:tbl>
      <w:tblPr>
        <w:tblStyle w:val="TableGrid"/>
        <w:tblW w:w="9640" w:type="dxa"/>
        <w:tblInd w:w="-28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701"/>
        <w:gridCol w:w="709"/>
        <w:gridCol w:w="851"/>
        <w:gridCol w:w="1559"/>
      </w:tblGrid>
      <w:tr w:rsidR="002C10E0" w:rsidRPr="000436E4" w14:paraId="5233832B" w14:textId="77777777" w:rsidTr="562CFA04">
        <w:tc>
          <w:tcPr>
            <w:tcW w:w="96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74ED6473" w14:textId="5720830F" w:rsidR="002C10E0" w:rsidRPr="000436E4" w:rsidRDefault="002C10E0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JOB </w:t>
            </w:r>
            <w:r w:rsidR="00A55D17">
              <w:rPr>
                <w:rFonts w:ascii="Arial" w:hAnsi="Arial" w:cs="Arial"/>
                <w:b/>
                <w:bCs/>
                <w:color w:val="FFFFFF" w:themeColor="background1"/>
              </w:rPr>
              <w:t>DESCRIPTION</w:t>
            </w:r>
          </w:p>
        </w:tc>
      </w:tr>
      <w:tr w:rsidR="002C10E0" w:rsidRPr="002C10E0" w14:paraId="3262AD59" w14:textId="77777777" w:rsidTr="562CFA04"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D3BD7F9" w14:textId="635F2A52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BD92CA6" w14:textId="18C10A09" w:rsidR="002C10E0" w:rsidRPr="000D7977" w:rsidRDefault="00F27935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 xml:space="preserve">Underground </w:t>
            </w:r>
            <w:r w:rsidR="005E5091"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>Miner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759290D4" w14:textId="607D226F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  <w:t>Rotation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01FE361" w14:textId="4C9C5660" w:rsidR="002C10E0" w:rsidRPr="000D7977" w:rsidRDefault="002A0B0C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 w:rsidRPr="000D7977"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>4 weeks on/4 weeks off</w:t>
            </w:r>
          </w:p>
        </w:tc>
      </w:tr>
      <w:tr w:rsidR="002C10E0" w:rsidRPr="002C10E0" w14:paraId="1DAA77FD" w14:textId="77777777" w:rsidTr="562CFA04">
        <w:trPr>
          <w:trHeight w:val="362"/>
        </w:trPr>
        <w:tc>
          <w:tcPr>
            <w:tcW w:w="1844" w:type="dxa"/>
            <w:vAlign w:val="center"/>
          </w:tcPr>
          <w:p w14:paraId="0EA0F026" w14:textId="73969F90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Location</w:t>
            </w:r>
          </w:p>
        </w:tc>
        <w:tc>
          <w:tcPr>
            <w:tcW w:w="2976" w:type="dxa"/>
            <w:vAlign w:val="center"/>
          </w:tcPr>
          <w:p w14:paraId="4F2999DA" w14:textId="42A30FC7" w:rsidR="002C10E0" w:rsidRPr="000D7977" w:rsidRDefault="005B4B40" w:rsidP="002A0B0C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Nalunaq Min</w:t>
            </w:r>
            <w:r w:rsidR="00B5040D">
              <w:rPr>
                <w:rFonts w:ascii="Aptos" w:hAnsi="Aptos" w:cs="Arial"/>
                <w:i/>
                <w:iCs/>
                <w:color w:val="000000" w:themeColor="text1"/>
              </w:rPr>
              <w:t>e</w:t>
            </w: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, Greenland</w:t>
            </w:r>
          </w:p>
        </w:tc>
        <w:tc>
          <w:tcPr>
            <w:tcW w:w="2410" w:type="dxa"/>
            <w:gridSpan w:val="2"/>
            <w:vAlign w:val="center"/>
          </w:tcPr>
          <w:p w14:paraId="0A0014F1" w14:textId="002D9088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Type</w:t>
            </w:r>
          </w:p>
        </w:tc>
        <w:tc>
          <w:tcPr>
            <w:tcW w:w="2410" w:type="dxa"/>
            <w:gridSpan w:val="2"/>
            <w:vAlign w:val="center"/>
          </w:tcPr>
          <w:p w14:paraId="12248261" w14:textId="297178F1" w:rsidR="002C10E0" w:rsidRPr="000D7977" w:rsidRDefault="002A0B0C" w:rsidP="009E1678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Full-time,</w:t>
            </w:r>
            <w:r w:rsidR="009E1678" w:rsidRPr="000D7977">
              <w:rPr>
                <w:rFonts w:ascii="Aptos" w:hAnsi="Aptos" w:cs="Arial"/>
                <w:i/>
                <w:iCs/>
                <w:color w:val="000000" w:themeColor="text1"/>
              </w:rPr>
              <w:t xml:space="preserve">             </w:t>
            </w: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Rotation Basis</w:t>
            </w:r>
          </w:p>
        </w:tc>
      </w:tr>
      <w:tr w:rsidR="002C10E0" w:rsidRPr="000436E4" w14:paraId="5B3934E9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7DD7CF50" w14:textId="5E0D1000" w:rsidR="002C10E0" w:rsidRPr="000436E4" w:rsidRDefault="008957D6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COMPANY VALUES</w:t>
            </w:r>
          </w:p>
        </w:tc>
      </w:tr>
      <w:tr w:rsidR="002C10E0" w:rsidRPr="000436E4" w14:paraId="7ECE2363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vAlign w:val="center"/>
          </w:tcPr>
          <w:p w14:paraId="599A1455" w14:textId="2F8C0288" w:rsidR="002C10E0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Leading through professionalism</w:t>
            </w:r>
          </w:p>
          <w:p w14:paraId="2949E13E" w14:textId="668B4C43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Innovative and agile</w:t>
            </w:r>
          </w:p>
          <w:p w14:paraId="08F99FE1" w14:textId="57B4107B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Collaborative and caring</w:t>
            </w:r>
          </w:p>
          <w:p w14:paraId="31E92866" w14:textId="19DC2495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Long term perspective</w:t>
            </w:r>
          </w:p>
          <w:p w14:paraId="3A2A2B5B" w14:textId="33B6232F" w:rsidR="00180FA0" w:rsidRPr="00180FA0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977">
              <w:rPr>
                <w:rFonts w:ascii="Aptos" w:hAnsi="Aptos" w:cs="Arial"/>
                <w:color w:val="000000"/>
              </w:rPr>
              <w:t>Execute and deliver</w:t>
            </w:r>
          </w:p>
        </w:tc>
      </w:tr>
      <w:tr w:rsidR="009E1678" w:rsidRPr="00FF4A79" w14:paraId="5AD8639D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2FA4A846" w14:textId="35D8C867" w:rsidR="009E1678" w:rsidRPr="00FF4A79" w:rsidRDefault="002C4305" w:rsidP="00FF4A79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OVERVIEW</w:t>
            </w:r>
          </w:p>
        </w:tc>
      </w:tr>
      <w:tr w:rsidR="009E1678" w:rsidRPr="000436E4" w14:paraId="6E423030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vAlign w:val="center"/>
          </w:tcPr>
          <w:p w14:paraId="6803A0F1" w14:textId="1BE92C83" w:rsidR="009E1678" w:rsidRPr="00BF522B" w:rsidRDefault="009D4A24" w:rsidP="008A179B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 w:rsidRPr="009D4A24">
              <w:rPr>
                <w:rFonts w:ascii="Aptos" w:hAnsi="Aptos" w:cs="Arial"/>
                <w:color w:val="000000"/>
              </w:rPr>
              <w:t xml:space="preserve">We are seeking </w:t>
            </w:r>
            <w:r w:rsidR="00F27935" w:rsidRPr="00F27935">
              <w:rPr>
                <w:rFonts w:ascii="Aptos" w:hAnsi="Aptos" w:cs="Arial"/>
                <w:color w:val="000000"/>
              </w:rPr>
              <w:t xml:space="preserve">skilled and motivated Underground Miners, preferably Greenlandic, to join our team at Nalunaq Mine. This role involves performing various tasks related to underground mining, including drilling, blasting, </w:t>
            </w:r>
            <w:r w:rsidR="00D55C96">
              <w:rPr>
                <w:rFonts w:ascii="Aptos" w:hAnsi="Aptos" w:cs="Arial"/>
                <w:color w:val="000000"/>
              </w:rPr>
              <w:t>scaling,</w:t>
            </w:r>
            <w:r w:rsidR="00D55C96" w:rsidRPr="00F27935">
              <w:rPr>
                <w:rFonts w:ascii="Aptos" w:hAnsi="Aptos" w:cs="Arial"/>
                <w:color w:val="000000"/>
              </w:rPr>
              <w:t xml:space="preserve"> </w:t>
            </w:r>
            <w:r w:rsidR="00F27935" w:rsidRPr="00F27935">
              <w:rPr>
                <w:rFonts w:ascii="Aptos" w:hAnsi="Aptos" w:cs="Arial"/>
                <w:color w:val="000000"/>
              </w:rPr>
              <w:t xml:space="preserve">mucking, and </w:t>
            </w:r>
            <w:r w:rsidR="00E678CC">
              <w:rPr>
                <w:rFonts w:ascii="Aptos" w:hAnsi="Aptos" w:cs="Arial"/>
                <w:color w:val="000000"/>
              </w:rPr>
              <w:t xml:space="preserve">operating various </w:t>
            </w:r>
            <w:r w:rsidR="00F27935" w:rsidRPr="00F27935">
              <w:rPr>
                <w:rFonts w:ascii="Aptos" w:hAnsi="Aptos" w:cs="Arial"/>
                <w:color w:val="000000"/>
              </w:rPr>
              <w:t xml:space="preserve">equipment </w:t>
            </w:r>
            <w:r w:rsidR="00E678CC">
              <w:rPr>
                <w:rFonts w:ascii="Aptos" w:hAnsi="Aptos" w:cs="Arial"/>
                <w:color w:val="000000"/>
              </w:rPr>
              <w:t>(jumbo</w:t>
            </w:r>
            <w:r w:rsidR="006F625B">
              <w:rPr>
                <w:rFonts w:ascii="Aptos" w:hAnsi="Aptos" w:cs="Arial"/>
                <w:color w:val="000000"/>
              </w:rPr>
              <w:t xml:space="preserve">s, scoops, dump trucks, utility trucks, etc.) – </w:t>
            </w:r>
            <w:r w:rsidR="00F27935" w:rsidRPr="00F27935">
              <w:rPr>
                <w:rFonts w:ascii="Aptos" w:hAnsi="Aptos" w:cs="Arial"/>
                <w:color w:val="000000"/>
              </w:rPr>
              <w:t xml:space="preserve">while adhering to strict safety and environmental standards. The ideal candidate </w:t>
            </w:r>
            <w:r w:rsidR="00690658">
              <w:rPr>
                <w:rFonts w:ascii="Aptos" w:hAnsi="Aptos" w:cs="Arial"/>
                <w:color w:val="000000"/>
              </w:rPr>
              <w:t>should have prior</w:t>
            </w:r>
            <w:r w:rsidR="00F27935" w:rsidRPr="00F27935">
              <w:rPr>
                <w:rFonts w:ascii="Aptos" w:hAnsi="Aptos" w:cs="Arial"/>
                <w:color w:val="000000"/>
              </w:rPr>
              <w:t xml:space="preserve"> experience in underground mining</w:t>
            </w:r>
            <w:r w:rsidR="000546A0">
              <w:rPr>
                <w:rFonts w:ascii="Aptos" w:hAnsi="Aptos" w:cs="Arial"/>
                <w:color w:val="000000"/>
              </w:rPr>
              <w:t>.</w:t>
            </w:r>
          </w:p>
        </w:tc>
      </w:tr>
      <w:tr w:rsidR="009E1678" w:rsidRPr="000436E4" w14:paraId="725C9FAC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45308B4B" w14:textId="1DCE3060" w:rsidR="009E1678" w:rsidRPr="00902446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MAIN RESPONSIBILITIES</w:t>
            </w:r>
          </w:p>
        </w:tc>
      </w:tr>
      <w:tr w:rsidR="009E1678" w:rsidRPr="00AD21F0" w14:paraId="60B451ED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3BD97C9D" w14:textId="77777777" w:rsidR="00C32817" w:rsidRPr="00C32817" w:rsidRDefault="00C32817" w:rsidP="00C32817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b/>
                <w:bCs/>
                <w:color w:val="000000"/>
                <w:lang w:val="en-ZA"/>
              </w:rPr>
              <w:t>Mining Operations:</w:t>
            </w:r>
          </w:p>
          <w:p w14:paraId="218E6083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Perform underground mining tasks such as drilling, blasting, scaling, bolting, and mucking.</w:t>
            </w:r>
          </w:p>
          <w:p w14:paraId="6E195462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Operate and maintain underground mining equipment, including loaders, haul trucks, jumbo drills, and rock bolters.</w:t>
            </w:r>
          </w:p>
          <w:p w14:paraId="5CC728CA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Follow shift plans and instructions to ensure the safe and efficient extraction of ore.</w:t>
            </w:r>
          </w:p>
          <w:p w14:paraId="5F74AA84" w14:textId="616020AE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Support ground control efforts by installing ground support systems, such as mesh, bolts, and shotcrete.</w:t>
            </w:r>
          </w:p>
          <w:p w14:paraId="19BE81B1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Assist in development and stope preparation activities, including excavation and backfilling.</w:t>
            </w:r>
          </w:p>
          <w:p w14:paraId="3C8220D1" w14:textId="77777777" w:rsidR="00C32817" w:rsidRPr="00C32817" w:rsidRDefault="00C32817" w:rsidP="00C32817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b/>
                <w:bCs/>
                <w:color w:val="000000"/>
                <w:lang w:val="en-ZA"/>
              </w:rPr>
              <w:t>Safety and Compliance:</w:t>
            </w:r>
          </w:p>
          <w:p w14:paraId="6731D0A2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Strictly adhere to all safety protocols and use personal protective equipment (PPE) at all times.</w:t>
            </w:r>
          </w:p>
          <w:p w14:paraId="7D1DC777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Conduct pre-operational checks on equipment and report any defects or safety concerns immediately.</w:t>
            </w:r>
          </w:p>
          <w:p w14:paraId="7A7A20A8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Participate in safety meetings, training sessions, and emergency response drills.</w:t>
            </w:r>
          </w:p>
          <w:p w14:paraId="3A43B3C2" w14:textId="3FD29AC3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lastRenderedPageBreak/>
              <w:t>Ensure compliance with Greenlandic regulations and company policies.</w:t>
            </w:r>
          </w:p>
          <w:p w14:paraId="5253F483" w14:textId="77777777" w:rsidR="00C32817" w:rsidRPr="00C32817" w:rsidRDefault="00C32817" w:rsidP="00C32817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b/>
                <w:bCs/>
                <w:color w:val="000000"/>
                <w:lang w:val="en-ZA"/>
              </w:rPr>
              <w:t>Maintenance and Housekeeping:</w:t>
            </w:r>
          </w:p>
          <w:p w14:paraId="79D83A06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Perform routine maintenance and cleaning of mining equipment and tools.</w:t>
            </w:r>
          </w:p>
          <w:p w14:paraId="773702B8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Maintain clean and organized work areas to prevent hazards and ensure operational efficiency.</w:t>
            </w:r>
          </w:p>
          <w:p w14:paraId="14704781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Report and document any maintenance issues or unsafe conditions promptly.</w:t>
            </w:r>
          </w:p>
          <w:p w14:paraId="3273E0AD" w14:textId="77777777" w:rsidR="00C32817" w:rsidRPr="00C32817" w:rsidRDefault="00C32817" w:rsidP="00C32817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b/>
                <w:bCs/>
                <w:color w:val="000000"/>
                <w:lang w:val="en-ZA"/>
              </w:rPr>
              <w:t>Team Collaboration:</w:t>
            </w:r>
          </w:p>
          <w:p w14:paraId="227F2B42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Work effectively with other miners, supervisors, and technical staff to achieve production targets.</w:t>
            </w:r>
          </w:p>
          <w:p w14:paraId="03AB57B9" w14:textId="77777777" w:rsidR="00C32817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Communicate effectively during shift handovers to ensure seamless operations.</w:t>
            </w:r>
          </w:p>
          <w:p w14:paraId="488CE830" w14:textId="30BB460E" w:rsidR="009E1678" w:rsidRPr="00C32817" w:rsidRDefault="00C32817" w:rsidP="00C32817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C32817">
              <w:rPr>
                <w:rFonts w:ascii="Aptos" w:hAnsi="Aptos" w:cs="Arial"/>
                <w:color w:val="000000"/>
                <w:lang w:val="en-ZA"/>
              </w:rPr>
              <w:t>Provide support to other team members as needed to maintain safe and efficient operations.</w:t>
            </w:r>
          </w:p>
        </w:tc>
      </w:tr>
      <w:tr w:rsidR="009E1678" w:rsidRPr="000436E4" w14:paraId="5E1EC385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  <w:shd w:val="clear" w:color="auto" w:fill="323E4F" w:themeFill="text2" w:themeFillShade="BF"/>
            <w:vAlign w:val="center"/>
          </w:tcPr>
          <w:p w14:paraId="00B7DECC" w14:textId="6ABB0DC9" w:rsidR="009E1678" w:rsidRPr="000436E4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SKILLS AND </w:t>
            </w:r>
            <w:r w:rsidR="00884590">
              <w:rPr>
                <w:rFonts w:ascii="Arial" w:hAnsi="Arial" w:cs="Arial"/>
                <w:b/>
                <w:bCs/>
                <w:color w:val="FFFFFF" w:themeColor="background1"/>
              </w:rPr>
              <w:t>COMPETENCIES</w:t>
            </w:r>
          </w:p>
        </w:tc>
        <w:tc>
          <w:tcPr>
            <w:tcW w:w="1560" w:type="dxa"/>
            <w:gridSpan w:val="2"/>
            <w:shd w:val="clear" w:color="auto" w:fill="323E4F" w:themeFill="text2" w:themeFillShade="BF"/>
            <w:vAlign w:val="center"/>
          </w:tcPr>
          <w:p w14:paraId="28EAE897" w14:textId="1A8C87D7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56E9B056" w14:textId="76FB1CCB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</w:tc>
      </w:tr>
      <w:tr w:rsidR="004D7A54" w:rsidRPr="002C10E0" w14:paraId="3E38E361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20656A44" w14:textId="3748D4E5" w:rsidR="004D7A54" w:rsidRPr="004D7A54" w:rsidRDefault="004B3B1E" w:rsidP="004D7A54">
            <w:pPr>
              <w:pStyle w:val="paragraph1"/>
              <w:numPr>
                <w:ilvl w:val="0"/>
                <w:numId w:val="11"/>
              </w:numPr>
              <w:spacing w:beforeLines="60" w:before="144" w:afterLines="60" w:after="144"/>
              <w:textAlignment w:val="baseline"/>
              <w:rPr>
                <w:rStyle w:val="normaltextrun1"/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4D7A54">
              <w:rPr>
                <w:rFonts w:ascii="Aptos" w:hAnsi="Aptos"/>
                <w:sz w:val="22"/>
                <w:szCs w:val="22"/>
              </w:rPr>
              <w:t>Problem-solving and troubleshooting abilities.</w:t>
            </w:r>
          </w:p>
        </w:tc>
        <w:tc>
          <w:tcPr>
            <w:tcW w:w="1560" w:type="dxa"/>
            <w:gridSpan w:val="2"/>
            <w:vAlign w:val="center"/>
          </w:tcPr>
          <w:p w14:paraId="6DAA8160" w14:textId="6871AF76" w:rsidR="004D7A54" w:rsidRPr="000D7977" w:rsidRDefault="004D7A54" w:rsidP="004D7A54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vAlign w:val="center"/>
          </w:tcPr>
          <w:p w14:paraId="41323570" w14:textId="77777777" w:rsidR="004D7A54" w:rsidRPr="000D7977" w:rsidRDefault="004D7A54" w:rsidP="004D7A54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4B3B1E" w:rsidRPr="002C10E0" w14:paraId="05086201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8A983F8" w14:textId="2B9A402D" w:rsidR="004B3B1E" w:rsidRPr="004D7A54" w:rsidRDefault="004B3B1E" w:rsidP="004B3B1E">
            <w:pPr>
              <w:pStyle w:val="paragraph1"/>
              <w:numPr>
                <w:ilvl w:val="0"/>
                <w:numId w:val="11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4D7A54">
              <w:rPr>
                <w:rFonts w:ascii="Aptos" w:hAnsi="Aptos"/>
                <w:sz w:val="22"/>
                <w:szCs w:val="22"/>
              </w:rPr>
              <w:t>Strong commitment to safety and environmental stewardship.</w:t>
            </w:r>
          </w:p>
        </w:tc>
        <w:tc>
          <w:tcPr>
            <w:tcW w:w="1560" w:type="dxa"/>
            <w:gridSpan w:val="2"/>
            <w:vAlign w:val="center"/>
          </w:tcPr>
          <w:p w14:paraId="7A38A592" w14:textId="579CCF45" w:rsidR="004B3B1E" w:rsidRPr="000D7977" w:rsidRDefault="004B3B1E" w:rsidP="004B3B1E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vAlign w:val="center"/>
          </w:tcPr>
          <w:p w14:paraId="6A34C221" w14:textId="77777777" w:rsidR="004B3B1E" w:rsidRPr="000D7977" w:rsidRDefault="004B3B1E" w:rsidP="004B3B1E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4B3B1E" w:rsidRPr="002C10E0" w14:paraId="6DEEB93D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1313FB34" w14:textId="55B83CEF" w:rsidR="004B3B1E" w:rsidRPr="004D7A54" w:rsidRDefault="004B3B1E" w:rsidP="004B3B1E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4D7A54">
              <w:rPr>
                <w:rFonts w:ascii="Aptos" w:hAnsi="Aptos"/>
                <w:sz w:val="22"/>
                <w:szCs w:val="22"/>
              </w:rPr>
              <w:t xml:space="preserve">Flexibility to work </w:t>
            </w:r>
            <w:r w:rsidR="00403A23">
              <w:rPr>
                <w:rFonts w:ascii="Aptos" w:hAnsi="Aptos"/>
                <w:sz w:val="22"/>
                <w:szCs w:val="22"/>
              </w:rPr>
              <w:t xml:space="preserve">shifts </w:t>
            </w:r>
            <w:r w:rsidRPr="004D7A54">
              <w:rPr>
                <w:rFonts w:ascii="Aptos" w:hAnsi="Aptos"/>
                <w:sz w:val="22"/>
                <w:szCs w:val="22"/>
              </w:rPr>
              <w:t>in a remote, rotational setting.</w:t>
            </w:r>
          </w:p>
        </w:tc>
        <w:tc>
          <w:tcPr>
            <w:tcW w:w="1560" w:type="dxa"/>
            <w:gridSpan w:val="2"/>
            <w:vAlign w:val="center"/>
          </w:tcPr>
          <w:p w14:paraId="0098ADAC" w14:textId="396892B3" w:rsidR="004B3B1E" w:rsidRPr="000D7977" w:rsidRDefault="004B3B1E" w:rsidP="004B3B1E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vAlign w:val="center"/>
          </w:tcPr>
          <w:p w14:paraId="7C4B404D" w14:textId="77777777" w:rsidR="004B3B1E" w:rsidRPr="000D7977" w:rsidRDefault="004B3B1E" w:rsidP="004B3B1E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4B3B1E" w:rsidRPr="002C10E0" w14:paraId="1E041B97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68C0F2CE" w14:textId="6FF4653E" w:rsidR="004B3B1E" w:rsidRPr="00952406" w:rsidRDefault="004B3B1E" w:rsidP="004B3B1E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952406">
              <w:rPr>
                <w:rFonts w:ascii="Aptos" w:hAnsi="Aptos"/>
                <w:sz w:val="22"/>
                <w:szCs w:val="22"/>
              </w:rPr>
              <w:t>Good communication skills in English</w:t>
            </w:r>
            <w:r>
              <w:rPr>
                <w:rFonts w:ascii="Aptos" w:hAnsi="Aptos"/>
                <w:sz w:val="22"/>
                <w:szCs w:val="22"/>
              </w:rPr>
              <w:t xml:space="preserve"> and/or</w:t>
            </w:r>
            <w:r w:rsidRPr="00952406">
              <w:rPr>
                <w:rFonts w:ascii="Aptos" w:hAnsi="Aptos"/>
                <w:sz w:val="22"/>
                <w:szCs w:val="22"/>
              </w:rPr>
              <w:t xml:space="preserve"> Greenlandic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14:paraId="4D2FB076" w14:textId="7BD0A0D6" w:rsidR="004B3B1E" w:rsidRPr="000D7977" w:rsidRDefault="004B3B1E" w:rsidP="004B3B1E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vAlign w:val="center"/>
          </w:tcPr>
          <w:p w14:paraId="399180B9" w14:textId="77777777" w:rsidR="004B3B1E" w:rsidRPr="000D7977" w:rsidRDefault="004B3B1E" w:rsidP="004B3B1E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4B3B1E" w:rsidRPr="002C10E0" w14:paraId="42DBD339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68E8E2DB" w14:textId="55484ECE" w:rsidR="004B3B1E" w:rsidRPr="00952406" w:rsidRDefault="004B3B1E" w:rsidP="004B3B1E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0E1D50">
              <w:rPr>
                <w:rFonts w:ascii="Aptos" w:hAnsi="Aptos"/>
                <w:sz w:val="22"/>
                <w:szCs w:val="22"/>
              </w:rPr>
              <w:t>Good teamwork skills, with the ability to report effectively and work with maintenance and technical teams.</w:t>
            </w:r>
          </w:p>
        </w:tc>
        <w:tc>
          <w:tcPr>
            <w:tcW w:w="1560" w:type="dxa"/>
            <w:gridSpan w:val="2"/>
            <w:vAlign w:val="center"/>
          </w:tcPr>
          <w:p w14:paraId="4953DE93" w14:textId="0E32D34A" w:rsidR="004B3B1E" w:rsidRPr="000D7977" w:rsidRDefault="004B3B1E" w:rsidP="004B3B1E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vAlign w:val="center"/>
          </w:tcPr>
          <w:p w14:paraId="318E8046" w14:textId="77777777" w:rsidR="004B3B1E" w:rsidRPr="000D7977" w:rsidRDefault="004B3B1E" w:rsidP="004B3B1E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4B3B1E" w:rsidRPr="000436E4" w14:paraId="2030A78E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2DA7FA0E" w14:textId="1356244B" w:rsidR="004B3B1E" w:rsidRPr="000436E4" w:rsidRDefault="004B3B1E" w:rsidP="004B3B1E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PHYSICAL REQUIREMENTS</w:t>
            </w:r>
          </w:p>
        </w:tc>
      </w:tr>
      <w:tr w:rsidR="004B3B1E" w:rsidRPr="002C10E0" w14:paraId="23F476B7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  <w:vAlign w:val="center"/>
          </w:tcPr>
          <w:p w14:paraId="2729217A" w14:textId="77777777" w:rsidR="009B2251" w:rsidRDefault="009B2251" w:rsidP="004B3B1E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9B2251">
              <w:rPr>
                <w:rFonts w:ascii="Aptos" w:hAnsi="Aptos" w:cs="Arial"/>
                <w:color w:val="000000"/>
              </w:rPr>
              <w:t>Ability to work in a physically demanding and confined environment.</w:t>
            </w:r>
          </w:p>
          <w:p w14:paraId="249FDD2B" w14:textId="1EF76A14" w:rsidR="004B3B1E" w:rsidRPr="00125BEB" w:rsidRDefault="004B3B1E" w:rsidP="004B3B1E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C549C6">
              <w:rPr>
                <w:rFonts w:ascii="Aptos" w:hAnsi="Aptos" w:cs="Arial"/>
                <w:color w:val="000000"/>
              </w:rPr>
              <w:t>Physically capable of handling long hours, standing for extended periods, and performing tasks as required.</w:t>
            </w:r>
          </w:p>
        </w:tc>
      </w:tr>
      <w:tr w:rsidR="004B3B1E" w:rsidRPr="000436E4" w14:paraId="3EB63FF2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69BE259F" w14:textId="250CCF3B" w:rsidR="004B3B1E" w:rsidRPr="000436E4" w:rsidRDefault="004B3B1E" w:rsidP="004B3B1E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APPLICATION PROCESS</w:t>
            </w:r>
          </w:p>
        </w:tc>
      </w:tr>
      <w:tr w:rsidR="004B3B1E" w:rsidRPr="002C10E0" w14:paraId="0EB65723" w14:textId="77777777" w:rsidTr="562CFA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  <w:vAlign w:val="center"/>
          </w:tcPr>
          <w:p w14:paraId="0CF52EA7" w14:textId="62AB6E3C" w:rsidR="004B3B1E" w:rsidRPr="000D7977" w:rsidRDefault="004B3B1E" w:rsidP="562CFA04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 w:themeColor="text1"/>
              </w:rPr>
            </w:pPr>
            <w:r w:rsidRPr="562CFA04">
              <w:rPr>
                <w:rFonts w:ascii="Aptos" w:hAnsi="Aptos" w:cs="Arial"/>
                <w:color w:val="000000" w:themeColor="text1"/>
              </w:rPr>
              <w:t xml:space="preserve">Interested candidates should submit their CV, a copy of their Greenlandic electrical ticket, and references to </w:t>
            </w:r>
            <w:hyperlink r:id="rId10">
              <w:r w:rsidRPr="562CFA04">
                <w:rPr>
                  <w:rStyle w:val="Hyperlink"/>
                  <w:rFonts w:ascii="Aptos" w:hAnsi="Aptos" w:cs="Arial"/>
                </w:rPr>
                <w:t>recruitment@amaroqminerals.com</w:t>
              </w:r>
            </w:hyperlink>
            <w:r w:rsidRPr="562CFA04">
              <w:rPr>
                <w:rFonts w:ascii="Aptos" w:hAnsi="Aptos" w:cs="Arial"/>
                <w:color w:val="000000" w:themeColor="text1"/>
              </w:rPr>
              <w:t xml:space="preserve">. </w:t>
            </w:r>
          </w:p>
          <w:p w14:paraId="329C313E" w14:textId="31918279" w:rsidR="004B3B1E" w:rsidRPr="000D7977" w:rsidRDefault="0371DD6E" w:rsidP="562CFA04">
            <w:pPr>
              <w:spacing w:beforeLines="60" w:before="144" w:afterLines="60" w:after="144"/>
              <w:textAlignment w:val="baseline"/>
              <w:rPr>
                <w:rFonts w:ascii="Aptos" w:eastAsia="Aptos" w:hAnsi="Aptos" w:cs="Aptos"/>
                <w:color w:val="000000" w:themeColor="text1"/>
              </w:rPr>
            </w:pPr>
            <w:r w:rsidRPr="562CFA04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Please note:</w:t>
            </w:r>
            <w:r w:rsidRPr="562CFA04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Due to logistical constraints, we are currently only able to consider candidates who are already based in Europe and </w:t>
            </w:r>
            <w:r w:rsidRPr="562CFA04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do not require visa sponsorship.</w:t>
            </w:r>
          </w:p>
          <w:p w14:paraId="70BFF211" w14:textId="7F9BA4E7" w:rsidR="004B3B1E" w:rsidRPr="000D7977" w:rsidRDefault="0371DD6E" w:rsidP="562CFA04">
            <w:pPr>
              <w:spacing w:beforeLines="60" w:before="144" w:afterLines="60" w:after="144"/>
              <w:textAlignment w:val="baseline"/>
              <w:rPr>
                <w:rFonts w:ascii="Aptos" w:eastAsia="Aptos" w:hAnsi="Aptos" w:cs="Aptos"/>
                <w:color w:val="000000"/>
              </w:rPr>
            </w:pPr>
            <w:r w:rsidRPr="562CFA04">
              <w:rPr>
                <w:rFonts w:ascii="Aptos" w:eastAsia="Aptos" w:hAnsi="Aptos" w:cs="Aptos"/>
                <w:color w:val="000000" w:themeColor="text1"/>
                <w:lang w:val="en-US"/>
              </w:rPr>
              <w:t>We value diversity and welcome applicants from all backgrounds who meet these logistical criteria</w:t>
            </w:r>
            <w:r w:rsidRPr="562CFA04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.</w:t>
            </w:r>
          </w:p>
        </w:tc>
      </w:tr>
    </w:tbl>
    <w:p w14:paraId="73E27C2A" w14:textId="6F40D8EF" w:rsidR="002C10E0" w:rsidRPr="000D7977" w:rsidRDefault="003468AA" w:rsidP="003468AA">
      <w:pPr>
        <w:spacing w:after="0" w:line="240" w:lineRule="auto"/>
        <w:ind w:left="860" w:hanging="860"/>
        <w:jc w:val="both"/>
        <w:rPr>
          <w:rFonts w:ascii="Aptos" w:hAnsi="Aptos" w:cs="Arial"/>
          <w:i/>
          <w:color w:val="404040" w:themeColor="text1" w:themeTint="BF"/>
        </w:rPr>
      </w:pPr>
      <w:r w:rsidRPr="000D7977">
        <w:rPr>
          <w:rFonts w:ascii="Aptos" w:hAnsi="Aptos" w:cs="Arial"/>
          <w:b/>
          <w:bCs/>
          <w:i/>
          <w:color w:val="404040" w:themeColor="text1" w:themeTint="BF"/>
        </w:rPr>
        <w:lastRenderedPageBreak/>
        <w:t>NOTE:</w:t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="002C10E0" w:rsidRPr="000D7977">
        <w:rPr>
          <w:rFonts w:ascii="Aptos" w:hAnsi="Aptos" w:cs="Arial"/>
          <w:i/>
          <w:color w:val="404040" w:themeColor="text1" w:themeTint="BF"/>
        </w:rPr>
        <w:t>The company may expect you to undertake other tasks outside of this job description. This job description is not exhaustive and may be updated from time to time.</w:t>
      </w:r>
    </w:p>
    <w:sectPr w:rsidR="002C10E0" w:rsidRPr="000D7977" w:rsidSect="00125924">
      <w:headerReference w:type="default" r:id="rId11"/>
      <w:footerReference w:type="default" r:id="rId12"/>
      <w:headerReference w:type="firs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EE74" w14:textId="77777777" w:rsidR="00BE5E49" w:rsidRDefault="00BE5E49" w:rsidP="00CB3F01">
      <w:r>
        <w:separator/>
      </w:r>
    </w:p>
  </w:endnote>
  <w:endnote w:type="continuationSeparator" w:id="0">
    <w:p w14:paraId="13FC44D7" w14:textId="77777777" w:rsidR="00BE5E49" w:rsidRDefault="00BE5E49" w:rsidP="00CB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C56" w14:textId="039885CF" w:rsidR="001D5FCA" w:rsidRPr="00471C6F" w:rsidRDefault="00255D0D">
    <w:pPr>
      <w:pStyle w:val="Footer"/>
      <w:rPr>
        <w:sz w:val="18"/>
        <w:szCs w:val="18"/>
      </w:rPr>
    </w:pP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FILENAME   \* MERGEFORMAT </w:instrText>
    </w:r>
    <w:r w:rsidRPr="00471C6F">
      <w:rPr>
        <w:sz w:val="18"/>
        <w:szCs w:val="18"/>
      </w:rPr>
      <w:fldChar w:fldCharType="separate"/>
    </w:r>
    <w:r w:rsidR="00AB402B">
      <w:rPr>
        <w:noProof/>
        <w:sz w:val="18"/>
        <w:szCs w:val="18"/>
      </w:rPr>
      <w:t>NAL_HR_Recruitment_Mine_Miner_English (20250118)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center" w:leader="none"/>
    </w:r>
    <w:r w:rsidR="001D5FCA" w:rsidRPr="00471C6F">
      <w:rPr>
        <w:sz w:val="18"/>
        <w:szCs w:val="18"/>
      </w:rPr>
      <w:t xml:space="preserve">Page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PAGE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1</w:t>
    </w:r>
    <w:r w:rsidRPr="00471C6F">
      <w:rPr>
        <w:sz w:val="18"/>
        <w:szCs w:val="18"/>
      </w:rPr>
      <w:fldChar w:fldCharType="end"/>
    </w:r>
    <w:r w:rsidRPr="00471C6F">
      <w:rPr>
        <w:sz w:val="18"/>
        <w:szCs w:val="18"/>
      </w:rPr>
      <w:t xml:space="preserve"> of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NUMPAGES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2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right" w:leader="none"/>
    </w:r>
    <w:r w:rsidRPr="00E75D17">
      <w:rPr>
        <w:b/>
        <w:bCs/>
        <w:sz w:val="18"/>
        <w:szCs w:val="18"/>
      </w:rPr>
      <w:t>Last Reviewed:</w:t>
    </w:r>
    <w:r w:rsidRPr="00471C6F">
      <w:rPr>
        <w:sz w:val="18"/>
        <w:szCs w:val="18"/>
      </w:rPr>
      <w:t xml:space="preserve"> </w:t>
    </w:r>
    <w:r w:rsidR="00930046">
      <w:rPr>
        <w:sz w:val="18"/>
        <w:szCs w:val="18"/>
      </w:rPr>
      <w:t>18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8CDE" w14:textId="77777777" w:rsidR="00BE5E49" w:rsidRDefault="00BE5E49" w:rsidP="00CB3F01">
      <w:r>
        <w:separator/>
      </w:r>
    </w:p>
  </w:footnote>
  <w:footnote w:type="continuationSeparator" w:id="0">
    <w:p w14:paraId="4D499C4B" w14:textId="77777777" w:rsidR="00BE5E49" w:rsidRDefault="00BE5E49" w:rsidP="00CB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5E64FA" w:rsidRPr="009262B7" w14:paraId="53F3012D" w14:textId="77777777" w:rsidTr="65592CCE">
      <w:tc>
        <w:tcPr>
          <w:tcW w:w="2410" w:type="dxa"/>
          <w:vAlign w:val="center"/>
        </w:tcPr>
        <w:p w14:paraId="2C828710" w14:textId="77777777" w:rsidR="005E64FA" w:rsidRPr="00AC2C43" w:rsidRDefault="65592CCE" w:rsidP="65592CCE">
          <w:pPr>
            <w:pStyle w:val="Title"/>
            <w:spacing w:after="0"/>
            <w:rPr>
              <w:color w:val="7F7F7F"/>
              <w:lang w:val="pt-BR"/>
            </w:rPr>
          </w:pPr>
          <w:r w:rsidRPr="00AC2C43">
            <w:rPr>
              <w:lang w:val="pt-BR"/>
            </w:rPr>
            <w:t>Nalunaq A/S</w:t>
          </w:r>
          <w:r w:rsidR="005E64FA" w:rsidRPr="00AC2C43">
            <w:rPr>
              <w:lang w:val="pt-BR"/>
            </w:rPr>
            <w:br/>
          </w:r>
          <w:r w:rsidRPr="00AC2C43">
            <w:rPr>
              <w:color w:val="7F7F7F" w:themeColor="text1" w:themeTint="80"/>
              <w:lang w:val="pt-BR"/>
            </w:rPr>
            <w:t>C/O Nuna Advokater Qullilerfik 2, 6</w:t>
          </w:r>
        </w:p>
        <w:p w14:paraId="26844DBA" w14:textId="77777777" w:rsidR="005E64FA" w:rsidRPr="00B67E10" w:rsidRDefault="65592CCE" w:rsidP="65592CCE">
          <w:pPr>
            <w:pStyle w:val="Title"/>
            <w:spacing w:after="0"/>
            <w:rPr>
              <w:color w:val="7F7F7F"/>
              <w:lang w:val="en-GB"/>
            </w:rPr>
          </w:pPr>
          <w:proofErr w:type="spellStart"/>
          <w:r w:rsidRPr="65592CCE">
            <w:rPr>
              <w:color w:val="7F7F7F" w:themeColor="text1" w:themeTint="80"/>
              <w:lang w:val="en-GB"/>
            </w:rPr>
            <w:t>Postboks</w:t>
          </w:r>
          <w:proofErr w:type="spellEnd"/>
          <w:r w:rsidRPr="65592CCE">
            <w:rPr>
              <w:color w:val="7F7F7F" w:themeColor="text1" w:themeTint="80"/>
              <w:lang w:val="en-GB"/>
            </w:rPr>
            <w:t xml:space="preserve"> 59</w:t>
          </w:r>
        </w:p>
        <w:p w14:paraId="3CA6950A" w14:textId="77777777" w:rsidR="005E64FA" w:rsidRPr="00B67E10" w:rsidRDefault="005E64FA" w:rsidP="005E64FA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3900 Nuuk</w:t>
          </w:r>
        </w:p>
        <w:p w14:paraId="5DB06A83" w14:textId="77777777" w:rsidR="005E64FA" w:rsidRPr="00CE5651" w:rsidRDefault="005E64FA" w:rsidP="005E64FA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59201334" w14:textId="28AD8FA8" w:rsidR="005E64FA" w:rsidRPr="005E64FA" w:rsidRDefault="005E64FA" w:rsidP="005E64FA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8A6CC6" wp14:editId="7E7BC8E2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78530665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2C10E0" w:rsidRPr="009262B7" w14:paraId="034D64FB" w14:textId="77777777" w:rsidTr="65592CCE">
      <w:tc>
        <w:tcPr>
          <w:tcW w:w="2410" w:type="dxa"/>
          <w:vAlign w:val="center"/>
        </w:tcPr>
        <w:p w14:paraId="2355C9A0" w14:textId="4D83B7B9" w:rsidR="002748FA" w:rsidRPr="00AC2C43" w:rsidRDefault="65592CCE" w:rsidP="65592CCE">
          <w:pPr>
            <w:pStyle w:val="Title"/>
            <w:spacing w:after="0"/>
            <w:rPr>
              <w:color w:val="7F7F7F"/>
              <w:lang w:val="pt-BR"/>
            </w:rPr>
          </w:pPr>
          <w:r w:rsidRPr="00AC2C43">
            <w:rPr>
              <w:lang w:val="pt-BR"/>
            </w:rPr>
            <w:t>Nalunaq A/S</w:t>
          </w:r>
          <w:r w:rsidR="00C460B9" w:rsidRPr="00AC2C43">
            <w:rPr>
              <w:lang w:val="pt-BR"/>
            </w:rPr>
            <w:br/>
          </w:r>
          <w:r w:rsidRPr="00AC2C43">
            <w:rPr>
              <w:color w:val="7F7F7F" w:themeColor="text1" w:themeTint="80"/>
              <w:lang w:val="pt-BR"/>
            </w:rPr>
            <w:t>C/O Nuna Advokater Qullilerfik 2, 6</w:t>
          </w:r>
        </w:p>
        <w:p w14:paraId="39A23849" w14:textId="527310BB" w:rsidR="00B67E10" w:rsidRPr="00B67E10" w:rsidRDefault="65592CCE" w:rsidP="65592CCE">
          <w:pPr>
            <w:pStyle w:val="Title"/>
            <w:spacing w:after="0"/>
            <w:rPr>
              <w:color w:val="7F7F7F"/>
              <w:lang w:val="en-GB"/>
            </w:rPr>
          </w:pPr>
          <w:proofErr w:type="spellStart"/>
          <w:r w:rsidRPr="65592CCE">
            <w:rPr>
              <w:color w:val="7F7F7F" w:themeColor="text1" w:themeTint="80"/>
              <w:lang w:val="en-GB"/>
            </w:rPr>
            <w:t>Postboks</w:t>
          </w:r>
          <w:proofErr w:type="spellEnd"/>
          <w:r w:rsidRPr="65592CCE">
            <w:rPr>
              <w:color w:val="7F7F7F" w:themeColor="text1" w:themeTint="80"/>
              <w:lang w:val="en-GB"/>
            </w:rPr>
            <w:t xml:space="preserve"> 59</w:t>
          </w:r>
        </w:p>
        <w:p w14:paraId="1F562B34" w14:textId="77777777" w:rsidR="00B67E10" w:rsidRPr="00B67E10" w:rsidRDefault="00B67E10" w:rsidP="00B67E10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3900 Nuuk</w:t>
          </w:r>
        </w:p>
        <w:p w14:paraId="469CAAB3" w14:textId="78EF303E" w:rsidR="002C10E0" w:rsidRPr="00CE5651" w:rsidRDefault="00B67E10" w:rsidP="00B67E10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17BB4C8C" w14:textId="214E3676" w:rsidR="002C10E0" w:rsidRPr="002C10E0" w:rsidRDefault="001A5869" w:rsidP="002C10E0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8C183F" wp14:editId="5A33A978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81494177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9C5"/>
    <w:multiLevelType w:val="multilevel"/>
    <w:tmpl w:val="898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425A1"/>
    <w:multiLevelType w:val="multilevel"/>
    <w:tmpl w:val="746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A1C68"/>
    <w:multiLevelType w:val="multilevel"/>
    <w:tmpl w:val="F79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05CF2"/>
    <w:multiLevelType w:val="hybridMultilevel"/>
    <w:tmpl w:val="DD60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6944"/>
    <w:multiLevelType w:val="hybridMultilevel"/>
    <w:tmpl w:val="65F2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1285D"/>
    <w:multiLevelType w:val="hybridMultilevel"/>
    <w:tmpl w:val="4BF68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42A99"/>
    <w:multiLevelType w:val="hybridMultilevel"/>
    <w:tmpl w:val="C6E0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C51F6"/>
    <w:multiLevelType w:val="hybridMultilevel"/>
    <w:tmpl w:val="1F6CB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90B6F"/>
    <w:multiLevelType w:val="hybridMultilevel"/>
    <w:tmpl w:val="B5BE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B596A"/>
    <w:multiLevelType w:val="hybridMultilevel"/>
    <w:tmpl w:val="D99006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3330"/>
    <w:multiLevelType w:val="hybridMultilevel"/>
    <w:tmpl w:val="0E32E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5663F"/>
    <w:multiLevelType w:val="multilevel"/>
    <w:tmpl w:val="7CC8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B3E37"/>
    <w:multiLevelType w:val="hybridMultilevel"/>
    <w:tmpl w:val="7E14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61CA2"/>
    <w:multiLevelType w:val="multilevel"/>
    <w:tmpl w:val="742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206BB"/>
    <w:multiLevelType w:val="multilevel"/>
    <w:tmpl w:val="C3A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379577">
    <w:abstractNumId w:val="12"/>
  </w:num>
  <w:num w:numId="2" w16cid:durableId="2088114989">
    <w:abstractNumId w:val="6"/>
  </w:num>
  <w:num w:numId="3" w16cid:durableId="473204">
    <w:abstractNumId w:val="0"/>
  </w:num>
  <w:num w:numId="4" w16cid:durableId="593629693">
    <w:abstractNumId w:val="8"/>
  </w:num>
  <w:num w:numId="5" w16cid:durableId="1678922422">
    <w:abstractNumId w:val="14"/>
  </w:num>
  <w:num w:numId="6" w16cid:durableId="1772554301">
    <w:abstractNumId w:val="4"/>
  </w:num>
  <w:num w:numId="7" w16cid:durableId="1458062475">
    <w:abstractNumId w:val="3"/>
  </w:num>
  <w:num w:numId="8" w16cid:durableId="1972635563">
    <w:abstractNumId w:val="9"/>
  </w:num>
  <w:num w:numId="9" w16cid:durableId="1838304773">
    <w:abstractNumId w:val="10"/>
  </w:num>
  <w:num w:numId="10" w16cid:durableId="1217202174">
    <w:abstractNumId w:val="7"/>
  </w:num>
  <w:num w:numId="11" w16cid:durableId="579413932">
    <w:abstractNumId w:val="5"/>
  </w:num>
  <w:num w:numId="12" w16cid:durableId="170805420">
    <w:abstractNumId w:val="1"/>
  </w:num>
  <w:num w:numId="13" w16cid:durableId="556284363">
    <w:abstractNumId w:val="2"/>
  </w:num>
  <w:num w:numId="14" w16cid:durableId="170416296">
    <w:abstractNumId w:val="11"/>
  </w:num>
  <w:num w:numId="15" w16cid:durableId="1315260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0"/>
    <w:rsid w:val="000021F0"/>
    <w:rsid w:val="00006B7C"/>
    <w:rsid w:val="0000762B"/>
    <w:rsid w:val="00014753"/>
    <w:rsid w:val="000436E4"/>
    <w:rsid w:val="0005426D"/>
    <w:rsid w:val="000546A0"/>
    <w:rsid w:val="00055143"/>
    <w:rsid w:val="0006754D"/>
    <w:rsid w:val="00081A3E"/>
    <w:rsid w:val="000925F7"/>
    <w:rsid w:val="000D4B5B"/>
    <w:rsid w:val="000D7977"/>
    <w:rsid w:val="000E1D50"/>
    <w:rsid w:val="000F7239"/>
    <w:rsid w:val="001016AD"/>
    <w:rsid w:val="0012245A"/>
    <w:rsid w:val="00125924"/>
    <w:rsid w:val="00125BEB"/>
    <w:rsid w:val="0015217D"/>
    <w:rsid w:val="0015798A"/>
    <w:rsid w:val="00180FA0"/>
    <w:rsid w:val="00192F37"/>
    <w:rsid w:val="00192F68"/>
    <w:rsid w:val="001A1821"/>
    <w:rsid w:val="001A5869"/>
    <w:rsid w:val="001C336C"/>
    <w:rsid w:val="001D037C"/>
    <w:rsid w:val="001D16EB"/>
    <w:rsid w:val="001D5FCA"/>
    <w:rsid w:val="001F00ED"/>
    <w:rsid w:val="001F786F"/>
    <w:rsid w:val="00202EE3"/>
    <w:rsid w:val="00213BC1"/>
    <w:rsid w:val="00215DD4"/>
    <w:rsid w:val="00235D4E"/>
    <w:rsid w:val="002507BB"/>
    <w:rsid w:val="00255D0D"/>
    <w:rsid w:val="00264375"/>
    <w:rsid w:val="002748FA"/>
    <w:rsid w:val="002A0B0C"/>
    <w:rsid w:val="002B6BAD"/>
    <w:rsid w:val="002C10E0"/>
    <w:rsid w:val="002C4305"/>
    <w:rsid w:val="002F3092"/>
    <w:rsid w:val="002F4B36"/>
    <w:rsid w:val="00306E3A"/>
    <w:rsid w:val="00310F63"/>
    <w:rsid w:val="00346149"/>
    <w:rsid w:val="003468AA"/>
    <w:rsid w:val="00354955"/>
    <w:rsid w:val="003C6E48"/>
    <w:rsid w:val="003D680B"/>
    <w:rsid w:val="003E7DEE"/>
    <w:rsid w:val="003F72C6"/>
    <w:rsid w:val="00403A23"/>
    <w:rsid w:val="004338B3"/>
    <w:rsid w:val="00435BCE"/>
    <w:rsid w:val="00461B38"/>
    <w:rsid w:val="00471C6F"/>
    <w:rsid w:val="00472ACD"/>
    <w:rsid w:val="004862D9"/>
    <w:rsid w:val="00486347"/>
    <w:rsid w:val="004A572D"/>
    <w:rsid w:val="004B3B1E"/>
    <w:rsid w:val="004B5EF2"/>
    <w:rsid w:val="004C77AF"/>
    <w:rsid w:val="004D7A54"/>
    <w:rsid w:val="004E18FA"/>
    <w:rsid w:val="004F6025"/>
    <w:rsid w:val="004F7593"/>
    <w:rsid w:val="005026F6"/>
    <w:rsid w:val="00515E1D"/>
    <w:rsid w:val="00521CBF"/>
    <w:rsid w:val="00523644"/>
    <w:rsid w:val="005A4CD3"/>
    <w:rsid w:val="005B4B40"/>
    <w:rsid w:val="005B7B4B"/>
    <w:rsid w:val="005D2161"/>
    <w:rsid w:val="005D7884"/>
    <w:rsid w:val="005E5091"/>
    <w:rsid w:val="005E64FA"/>
    <w:rsid w:val="005E7D0A"/>
    <w:rsid w:val="006114C8"/>
    <w:rsid w:val="006166CE"/>
    <w:rsid w:val="00690658"/>
    <w:rsid w:val="00696337"/>
    <w:rsid w:val="006A3A86"/>
    <w:rsid w:val="006C6CA9"/>
    <w:rsid w:val="006F625B"/>
    <w:rsid w:val="007058C3"/>
    <w:rsid w:val="00724B0C"/>
    <w:rsid w:val="0072616A"/>
    <w:rsid w:val="00734F06"/>
    <w:rsid w:val="0073635A"/>
    <w:rsid w:val="00737517"/>
    <w:rsid w:val="007554A4"/>
    <w:rsid w:val="0078099B"/>
    <w:rsid w:val="00785B77"/>
    <w:rsid w:val="00790E4D"/>
    <w:rsid w:val="007915BA"/>
    <w:rsid w:val="007932B1"/>
    <w:rsid w:val="007C155B"/>
    <w:rsid w:val="007C22DF"/>
    <w:rsid w:val="00810E33"/>
    <w:rsid w:val="008512BE"/>
    <w:rsid w:val="00870C0B"/>
    <w:rsid w:val="00884590"/>
    <w:rsid w:val="008957D6"/>
    <w:rsid w:val="008A179B"/>
    <w:rsid w:val="008C1C45"/>
    <w:rsid w:val="008D322A"/>
    <w:rsid w:val="008D63DE"/>
    <w:rsid w:val="008E5AA7"/>
    <w:rsid w:val="00902446"/>
    <w:rsid w:val="00915B13"/>
    <w:rsid w:val="00922A9C"/>
    <w:rsid w:val="00930046"/>
    <w:rsid w:val="009412DA"/>
    <w:rsid w:val="00952406"/>
    <w:rsid w:val="00952CD4"/>
    <w:rsid w:val="00961CC1"/>
    <w:rsid w:val="009645A7"/>
    <w:rsid w:val="009670BC"/>
    <w:rsid w:val="009A4438"/>
    <w:rsid w:val="009B2251"/>
    <w:rsid w:val="009D4A24"/>
    <w:rsid w:val="009E1678"/>
    <w:rsid w:val="009F05A4"/>
    <w:rsid w:val="00A037FC"/>
    <w:rsid w:val="00A10F33"/>
    <w:rsid w:val="00A16CC3"/>
    <w:rsid w:val="00A55D17"/>
    <w:rsid w:val="00A6249F"/>
    <w:rsid w:val="00A63445"/>
    <w:rsid w:val="00A70342"/>
    <w:rsid w:val="00A7330C"/>
    <w:rsid w:val="00A95880"/>
    <w:rsid w:val="00AB402B"/>
    <w:rsid w:val="00AC2C43"/>
    <w:rsid w:val="00AD21F0"/>
    <w:rsid w:val="00AE74BB"/>
    <w:rsid w:val="00B23B92"/>
    <w:rsid w:val="00B313B0"/>
    <w:rsid w:val="00B41D43"/>
    <w:rsid w:val="00B45A8E"/>
    <w:rsid w:val="00B5040D"/>
    <w:rsid w:val="00B530FB"/>
    <w:rsid w:val="00B570F3"/>
    <w:rsid w:val="00B67C86"/>
    <w:rsid w:val="00B67E10"/>
    <w:rsid w:val="00B87019"/>
    <w:rsid w:val="00B906C5"/>
    <w:rsid w:val="00BB6811"/>
    <w:rsid w:val="00BD60E6"/>
    <w:rsid w:val="00BE5E49"/>
    <w:rsid w:val="00BF522B"/>
    <w:rsid w:val="00BF53AC"/>
    <w:rsid w:val="00C214E6"/>
    <w:rsid w:val="00C25120"/>
    <w:rsid w:val="00C27693"/>
    <w:rsid w:val="00C32817"/>
    <w:rsid w:val="00C34E90"/>
    <w:rsid w:val="00C430E2"/>
    <w:rsid w:val="00C460B9"/>
    <w:rsid w:val="00C549C6"/>
    <w:rsid w:val="00C87528"/>
    <w:rsid w:val="00CB3F01"/>
    <w:rsid w:val="00CD0BA0"/>
    <w:rsid w:val="00D078C6"/>
    <w:rsid w:val="00D12F0F"/>
    <w:rsid w:val="00D54C2E"/>
    <w:rsid w:val="00D55C96"/>
    <w:rsid w:val="00D60A32"/>
    <w:rsid w:val="00D820E4"/>
    <w:rsid w:val="00DA01DC"/>
    <w:rsid w:val="00DC3544"/>
    <w:rsid w:val="00DF1390"/>
    <w:rsid w:val="00DF7615"/>
    <w:rsid w:val="00E1161B"/>
    <w:rsid w:val="00E17BBB"/>
    <w:rsid w:val="00E31E5C"/>
    <w:rsid w:val="00E477C7"/>
    <w:rsid w:val="00E552BB"/>
    <w:rsid w:val="00E678CC"/>
    <w:rsid w:val="00E67FF1"/>
    <w:rsid w:val="00E745E0"/>
    <w:rsid w:val="00E75D17"/>
    <w:rsid w:val="00E75F13"/>
    <w:rsid w:val="00E83C25"/>
    <w:rsid w:val="00EE513C"/>
    <w:rsid w:val="00EF27C9"/>
    <w:rsid w:val="00F04F5A"/>
    <w:rsid w:val="00F27935"/>
    <w:rsid w:val="00F413A9"/>
    <w:rsid w:val="00F43C3B"/>
    <w:rsid w:val="00F441F0"/>
    <w:rsid w:val="00F56BB7"/>
    <w:rsid w:val="00F6521D"/>
    <w:rsid w:val="00F838A2"/>
    <w:rsid w:val="00F85674"/>
    <w:rsid w:val="00F86C67"/>
    <w:rsid w:val="00F95868"/>
    <w:rsid w:val="00FA19FD"/>
    <w:rsid w:val="00FC455A"/>
    <w:rsid w:val="00FD7837"/>
    <w:rsid w:val="00FF0C6A"/>
    <w:rsid w:val="00FF35EC"/>
    <w:rsid w:val="00FF4A79"/>
    <w:rsid w:val="0371DD6E"/>
    <w:rsid w:val="562CFA04"/>
    <w:rsid w:val="58B7D1B7"/>
    <w:rsid w:val="655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A6B7"/>
  <w15:chartTrackingRefBased/>
  <w15:docId w15:val="{A1B7DC9E-BE69-45E4-87D5-840A0379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0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0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01"/>
    <w:rPr>
      <w:rFonts w:ascii="Calibri" w:hAnsi="Calibri" w:cs="Calibri"/>
    </w:rPr>
  </w:style>
  <w:style w:type="paragraph" w:customStyle="1" w:styleId="MMCI-CompanyInfo">
    <w:name w:val="MMCI-Company Info"/>
    <w:link w:val="MMCI-CompanyInfoChar"/>
    <w:qFormat/>
    <w:rsid w:val="003C6E48"/>
    <w:pPr>
      <w:spacing w:before="240" w:after="120" w:line="240" w:lineRule="auto"/>
      <w:textAlignment w:val="baseline"/>
    </w:pPr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LetterTitle">
    <w:name w:val="MMCI-Letter Title"/>
    <w:link w:val="MMCI-LetterTitleChar"/>
    <w:qFormat/>
    <w:rsid w:val="00346149"/>
    <w:pPr>
      <w:spacing w:before="840" w:after="840" w:line="240" w:lineRule="auto"/>
      <w:textAlignment w:val="baseline"/>
    </w:pPr>
    <w:rPr>
      <w:rFonts w:ascii="Arial" w:hAnsi="Arial" w:cstheme="minorHAnsi"/>
      <w:b/>
      <w:bCs/>
      <w:color w:val="000000"/>
      <w:spacing w:val="1"/>
      <w:sz w:val="20"/>
      <w:szCs w:val="18"/>
    </w:rPr>
  </w:style>
  <w:style w:type="character" w:customStyle="1" w:styleId="MMCI-CompanyInfoChar">
    <w:name w:val="MMCI-Company Info Char"/>
    <w:basedOn w:val="DefaultParagraphFont"/>
    <w:link w:val="MMCI-CompanyInfo"/>
    <w:rsid w:val="003C6E48"/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Text">
    <w:name w:val="MMCI-Text"/>
    <w:link w:val="MMCI-TextChar"/>
    <w:qFormat/>
    <w:rsid w:val="00346149"/>
    <w:pPr>
      <w:spacing w:before="120" w:after="240" w:line="360" w:lineRule="auto"/>
      <w:jc w:val="both"/>
    </w:pPr>
    <w:rPr>
      <w:rFonts w:ascii="Arial" w:hAnsi="Arial" w:cs="Calibri"/>
      <w:sz w:val="20"/>
    </w:rPr>
  </w:style>
  <w:style w:type="character" w:customStyle="1" w:styleId="MMCI-LetterTitleChar">
    <w:name w:val="MMCI-Letter Title Char"/>
    <w:basedOn w:val="DefaultParagraphFont"/>
    <w:link w:val="MMCI-LetterTitle"/>
    <w:rsid w:val="00346149"/>
    <w:rPr>
      <w:rFonts w:ascii="Arial" w:hAnsi="Arial" w:cstheme="minorHAnsi"/>
      <w:b/>
      <w:bCs/>
      <w:color w:val="000000"/>
      <w:spacing w:val="1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rsid w:val="00D12F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MMCI-TextChar">
    <w:name w:val="MMCI-Text Char"/>
    <w:basedOn w:val="DefaultParagraphFont"/>
    <w:link w:val="MMCI-Text"/>
    <w:rsid w:val="00346149"/>
    <w:rPr>
      <w:rFonts w:ascii="Arial" w:hAnsi="Arial" w:cs="Calibri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12F0F"/>
    <w:rPr>
      <w:rFonts w:ascii="Calibri" w:hAnsi="Calibri" w:cs="Calibri"/>
      <w:i/>
      <w:iCs/>
      <w:color w:val="404040" w:themeColor="text1" w:themeTint="BF"/>
    </w:rPr>
  </w:style>
  <w:style w:type="paragraph" w:styleId="Title">
    <w:name w:val="Title"/>
    <w:aliases w:val="MMCI-Title,IPM-Title"/>
    <w:next w:val="Normal"/>
    <w:link w:val="TitleChar"/>
    <w:uiPriority w:val="10"/>
    <w:qFormat/>
    <w:rsid w:val="003C6E48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16"/>
      <w:szCs w:val="56"/>
    </w:rPr>
  </w:style>
  <w:style w:type="character" w:customStyle="1" w:styleId="TitleChar">
    <w:name w:val="Title Char"/>
    <w:aliases w:val="MMCI-Title Char,IPM-Title Char"/>
    <w:basedOn w:val="DefaultParagraphFont"/>
    <w:link w:val="Title"/>
    <w:uiPriority w:val="10"/>
    <w:rsid w:val="003C6E48"/>
    <w:rPr>
      <w:rFonts w:ascii="Arial" w:eastAsiaTheme="majorEastAsia" w:hAnsi="Arial" w:cstheme="majorBidi"/>
      <w:spacing w:val="-10"/>
      <w:kern w:val="28"/>
      <w:sz w:val="16"/>
      <w:szCs w:val="56"/>
    </w:rPr>
  </w:style>
  <w:style w:type="paragraph" w:customStyle="1" w:styleId="MMCI-Signature">
    <w:name w:val="MMCI-Signature"/>
    <w:link w:val="MMCI-SignatureChar"/>
    <w:qFormat/>
    <w:rsid w:val="00346149"/>
    <w:pPr>
      <w:spacing w:after="60" w:line="240" w:lineRule="auto"/>
    </w:pPr>
    <w:rPr>
      <w:rFonts w:ascii="Arial" w:hAnsi="Arial" w:cs="Calibri"/>
      <w:sz w:val="20"/>
    </w:rPr>
  </w:style>
  <w:style w:type="character" w:customStyle="1" w:styleId="MMCI-SignatureChar">
    <w:name w:val="MMCI-Signature Char"/>
    <w:basedOn w:val="DefaultParagraphFont"/>
    <w:link w:val="MMCI-Signature"/>
    <w:rsid w:val="00346149"/>
    <w:rPr>
      <w:rFonts w:ascii="Arial" w:hAnsi="Arial" w:cs="Calibri"/>
      <w:sz w:val="20"/>
    </w:rPr>
  </w:style>
  <w:style w:type="table" w:styleId="TableGrid">
    <w:name w:val="Table Grid"/>
    <w:basedOn w:val="TableNormal"/>
    <w:uiPriority w:val="59"/>
    <w:rsid w:val="005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2C10E0"/>
  </w:style>
  <w:style w:type="paragraph" w:customStyle="1" w:styleId="paragraph1">
    <w:name w:val="paragraph1"/>
    <w:basedOn w:val="Normal"/>
    <w:rsid w:val="002C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C10E0"/>
  </w:style>
  <w:style w:type="paragraph" w:styleId="ListParagraph">
    <w:name w:val="List Paragraph"/>
    <w:basedOn w:val="Normal"/>
    <w:uiPriority w:val="34"/>
    <w:rsid w:val="00922A9C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4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9F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0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amaroqmineral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b\AEX%20Gold%20Inc\Tamara%20Gil-White%20-%201-Team%20Collab\AEXG\AEXG%20Z-Templates\AEXG-Cover%20Letter-Toron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c4a2e-7f37-43f0-aa88-5fa27711e654">
      <Terms xmlns="http://schemas.microsoft.com/office/infopath/2007/PartnerControls"/>
    </lcf76f155ced4ddcb4097134ff3c332f>
    <TaxCatchAll xmlns="cfaddc8c-5358-4075-959f-6562456efed6" xsi:nil="true"/>
    <_Flow_SignoffStatus xmlns="314c4a2e-7f37-43f0-aa88-5fa27711e6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4B2EB4D82A345BAD8B01190CAFD55" ma:contentTypeVersion="14" ma:contentTypeDescription="Create a new document." ma:contentTypeScope="" ma:versionID="58568658366399d21b0468bca947c4e7">
  <xsd:schema xmlns:xsd="http://www.w3.org/2001/XMLSchema" xmlns:xs="http://www.w3.org/2001/XMLSchema" xmlns:p="http://schemas.microsoft.com/office/2006/metadata/properties" xmlns:ns2="314c4a2e-7f37-43f0-aa88-5fa27711e654" xmlns:ns3="cfaddc8c-5358-4075-959f-6562456efed6" targetNamespace="http://schemas.microsoft.com/office/2006/metadata/properties" ma:root="true" ma:fieldsID="98f26290a9e2365a9ba915692ae60e6d" ns2:_="" ns3:_="">
    <xsd:import namespace="314c4a2e-7f37-43f0-aa88-5fa27711e654"/>
    <xsd:import namespace="cfaddc8c-5358-4075-959f-6562456ef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a2e-7f37-43f0-aa88-5fa27711e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727972-c968-4629-9e74-a597ca639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dc8c-5358-4075-959f-6562456efe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69d6f1-8aca-46ad-9c93-aedf5c2b269f}" ma:internalName="TaxCatchAll" ma:showField="CatchAllData" ma:web="cfaddc8c-5358-4075-959f-6562456ef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A63A6-78FE-462E-989C-6FFA59570F58}">
  <ds:schemaRefs>
    <ds:schemaRef ds:uri="http://schemas.microsoft.com/office/2006/metadata/properties"/>
    <ds:schemaRef ds:uri="http://schemas.microsoft.com/office/infopath/2007/PartnerControls"/>
    <ds:schemaRef ds:uri="df267d85-7ca5-4769-8172-2888cb98f9bd"/>
    <ds:schemaRef ds:uri="f918710d-3c0d-459f-ac07-0514fbfaf85b"/>
    <ds:schemaRef ds:uri="314c4a2e-7f37-43f0-aa88-5fa27711e654"/>
    <ds:schemaRef ds:uri="cfaddc8c-5358-4075-959f-6562456efed6"/>
  </ds:schemaRefs>
</ds:datastoreItem>
</file>

<file path=customXml/itemProps2.xml><?xml version="1.0" encoding="utf-8"?>
<ds:datastoreItem xmlns:ds="http://schemas.openxmlformats.org/officeDocument/2006/customXml" ds:itemID="{E3D2F359-5F6E-47B7-8402-68F39AED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c4a2e-7f37-43f0-aa88-5fa27711e654"/>
    <ds:schemaRef ds:uri="cfaddc8c-5358-4075-959f-6562456ef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78D25-5B6E-49AB-9162-9681327BB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AEXG-Cover Letter-Toronto</Template>
  <TotalTime>0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Banks</dc:creator>
  <cp:keywords/>
  <dc:description/>
  <cp:lastModifiedBy>Ilya Gadzhiev</cp:lastModifiedBy>
  <cp:revision>3</cp:revision>
  <cp:lastPrinted>2025-01-20T10:55:00Z</cp:lastPrinted>
  <dcterms:created xsi:type="dcterms:W3CDTF">2025-09-19T09:03:00Z</dcterms:created>
  <dcterms:modified xsi:type="dcterms:W3CDTF">2025-09-19T09:04:00Z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0x01010038F4B2EB4D82A345BAD8B01190CAFD55</vt:lpwstr>
  </property>
  <property fmtid="{D5CDD505-2E9C-101B-9397-08002B2CF9AE}" pid="3" name="Order">
    <vt:r8>335600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